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C" w:rsidRPr="00E8243C" w:rsidRDefault="00E8243C" w:rsidP="00E8243C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A0A0A"/>
          <w:kern w:val="36"/>
          <w:sz w:val="29"/>
          <w:szCs w:val="29"/>
          <w:lang w:eastAsia="pl-PL"/>
        </w:rPr>
      </w:pPr>
      <w:r w:rsidRPr="00E8243C">
        <w:rPr>
          <w:rFonts w:ascii="Arial" w:hAnsi="Arial" w:cs="Arial"/>
          <w:b/>
          <w:bCs/>
          <w:color w:val="0A0A0A"/>
          <w:kern w:val="36"/>
          <w:sz w:val="29"/>
          <w:szCs w:val="29"/>
          <w:lang w:eastAsia="pl-PL"/>
        </w:rPr>
        <w:t>20 tysięcy złotych na projekty partnerskie. Konkurs otwarty programu „Lokalne Partnerstwa PAFW” [nabór przedłużony do 28 marca]</w:t>
      </w:r>
    </w:p>
    <w:p w:rsidR="00E8243C" w:rsidRPr="00E8243C" w:rsidRDefault="00E8243C" w:rsidP="00E82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243C">
        <w:rPr>
          <w:rFonts w:ascii="Arial" w:hAnsi="Arial" w:cs="Arial"/>
          <w:color w:val="0A0A0A"/>
          <w:sz w:val="19"/>
          <w:szCs w:val="19"/>
          <w:lang w:eastAsia="pl-PL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19050" t="0" r="0" b="0"/>
            <wp:docPr id="1" name="Obraz 1" descr="http://www.lokalnepartnerstwa.org.pl/wp-content/uploads/2022/02/Konkurs-otwarty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kalnepartnerstwa.org.pl/wp-content/uploads/2022/02/Konkurs-otwarty-30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 xml:space="preserve">Organizacje i instytucje działające w gminach do 50 tys. mieszkańców mają szansę na stworzenie partnerstwa na rzecz dobra wspólnego i realizację projektu ważnego dla lokalnej społeczności. W ramach programu „Lokalne Partnerstwa Polsko-Amerykańskiej Fundacji Wolności” mogą wziąć udział w </w:t>
      </w:r>
      <w:proofErr w:type="spellStart"/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tutoringu</w:t>
      </w:r>
      <w:proofErr w:type="spellEnd"/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, a następnie zdobyć grant do 20 tysięcy złotych na partnerskie  działania. Realizowane projekty będą mogły obejmować również wsparcie dla uchodźców z Ukrainy. Termin nadsyłania  zgłoszeń upływa 28 marca 2022 roku.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Program „Lokalne Partnerstwa PAFW”, zainicjowany w 2009 r.  i realizowany przez Akademię Rozwoju Filantropii w Polsce adresowany jest do lokalnych społeczności z gmin do 50 tysięcy mieszkańców, które wykazują najwyższą aktywność w realizacji różnych programów Polsko-Amerykańskiej Fundacji Wolności. Jego celem jest umacnianie współpracy pomiędzy organizacjami, instytucjami oraz osobami w nie zaangażowanymi. Cel ten osiągany jest przez partnerstwa zawiązywane w Programie dzięki realizacji wspólnych projektów.  Trzon każdego partnerstwa stanowi Grupa Inicjatywna. Tworzą ją  liderki i liderzy społeczni oraz organizacje pozarządowe, szkoły, biblioteki czy instytucje kultury. Na późniejszym etapie dołączają do nich inni aktorzy życia społecznego: samorządy lokalne, przedsiębiorstwa i lokalne media. W podejmowanych działaniach wykorzystywana jest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metoda animacji społeczności lokalnych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służąca budowaniu dobra wspólnego w oparciu o przeprowadzoną wcześniej diagnozę społeczną.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W trwającej obecnie VIII edycji Programu ogłaszane są dwa konkursy.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Ogólnopolski, (zamknięty) konkurs grantowy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dla beneficjentów programów PAFW, którzy na przestrzeni ostatnich czterech lat zrealizowali w swoich społecznościach lokalnych projekty w ramach co najmniej czterech różnych programów PAFW. Drugi to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ogólnopolski (otwarty) konkurs grantowy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, na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start-up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granty, skierowany do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samozawiązujących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się Grup Inicjatywnych, nie związanych dotychczas z programami PAFW lub takich, których tylko jeden z członków był ich beneficjentem.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Dotychczas w ramach Programu zawiązało się 50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partnerstw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i 11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start-upów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, których działania objęły 107 gmin. Łącznie wzięło w nich udział blisko 160 tysięcy mieszkańców i prawie 1000 partnerów.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Jak mówi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Emilia Dmochowska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, koordynatorka Programu:</w:t>
      </w:r>
      <w:r w:rsidRPr="00E8243C">
        <w:rPr>
          <w:rFonts w:ascii="Arial" w:hAnsi="Arial" w:cs="Arial"/>
          <w:i/>
          <w:iCs/>
          <w:color w:val="0A0A0A"/>
          <w:sz w:val="17"/>
          <w:lang w:eastAsia="pl-PL"/>
        </w:rPr>
        <w:t> W niektórych miejscowościach brakuje przestrzeni  do rozmowy człowieka z człowiekiem, gdzie indziej mieszkańcy chcą docenić produkt lokalny czy dumę regionu, a czasami pojawia się też potrzeba stworzenia profesjonalnej oferty kulturalnej czy turystycznej. Partnerzy zaczynają więc od diagnozy problemu. Potem trzeba mówienie o pomysłach zastąpić działaniem i zbudować koalicję tych, którzy myślą podobnie. I oczywiście zgłosić się do programu „Lokalne Partnerstwa PAFW”.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W ciągu kilkunastu lat efekty partnerskich przedsięwzięć to m.in. lokalna internetowa telewizja obywatelska w Grodzisku Mazowieckim, zagospodarowanie publicznego parku w Biłgoraju, a także wypromowanie lokalnych produktów – karpia w Dolinie Baryczy, jabłka w Warce oraz chleba w Szadku. Powstały również Miejsca Przyjazne Młodzieży na Podkarpaciu, przeprowadzono kampanię na rzecz czystego powietrza w Żywcu, a w Chrzanowie zachowano dziedzictwo związane z nieistniejącą już, pierwszą w Polsce fabryką lokomotyw „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Fablok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” SA, która stała się wizytówką miasta.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i/>
          <w:iCs/>
          <w:color w:val="0A0A0A"/>
          <w:sz w:val="17"/>
          <w:lang w:eastAsia="pl-PL"/>
        </w:rPr>
        <w:t xml:space="preserve">Program „Lokalne Partnerstwa Polsko-Amerykańskiej Fundacji Wolności”, idea budowania lokalnych </w:t>
      </w:r>
      <w:proofErr w:type="spellStart"/>
      <w:r w:rsidRPr="00E8243C">
        <w:rPr>
          <w:rFonts w:ascii="Arial" w:hAnsi="Arial" w:cs="Arial"/>
          <w:i/>
          <w:iCs/>
          <w:color w:val="0A0A0A"/>
          <w:sz w:val="17"/>
          <w:lang w:eastAsia="pl-PL"/>
        </w:rPr>
        <w:t>partnerstw</w:t>
      </w:r>
      <w:proofErr w:type="spellEnd"/>
      <w:r w:rsidRPr="00E8243C">
        <w:rPr>
          <w:rFonts w:ascii="Arial" w:hAnsi="Arial" w:cs="Arial"/>
          <w:i/>
          <w:iCs/>
          <w:color w:val="0A0A0A"/>
          <w:sz w:val="17"/>
          <w:lang w:eastAsia="pl-PL"/>
        </w:rPr>
        <w:t xml:space="preserve"> opartych na dobru wspólnym i metoda animacji społeczności lokalnych cieszą się ogromnym zainteresowaniem. Dlatego otwieramy program na Grupy Inicjatywne, niekoniecznie związane wcześniej z programami PAFW  </w:t>
      </w:r>
      <w:r w:rsidRPr="00E8243C">
        <w:rPr>
          <w:rFonts w:ascii="Arial" w:hAnsi="Arial" w:cs="Arial"/>
          <w:b/>
          <w:bCs/>
          <w:i/>
          <w:iCs/>
          <w:color w:val="0A0A0A"/>
          <w:sz w:val="17"/>
          <w:lang w:eastAsia="pl-PL"/>
        </w:rPr>
        <w:t>– 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mówi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Joanna Lempart 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dyrektor programowa Polsko-Amerykańskiej Fundacji Wolności.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Konkurs otwarty – poznaj etapy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lastRenderedPageBreak/>
        <w:t>Konkurs otwarty jest adresowany do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Grup Inicjatywnych,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składających się z co najmniej trzech podmiotów, współpracujących ze sobą na terenie jednej lub więcej gmin do 50 tysięcy mieszkańców. Mogą to być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organizacje pozarządowe, szkoły, biblioteki czy instytucje kultury.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W późniejszym etapie budowania partnerstwa do Grupy Inicjatywnej dołączają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samorządy lokalne, przedsiębiorstwa i  lokalne media.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W ramach konkursu otwartego przewidziano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dwa etapy: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 udział w 3-miesięcznym programie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tutoringu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a następnie ubieganie się o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start-up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granty w wysokości do 20.000 zł. Pula w konkursie otwartym wynosi 80.000 zł. Przyznane zostaną maksymalnie 4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start-up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granty.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Aby zgłosić się do udziału w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tutoringu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należy wypełnić </w:t>
      </w:r>
      <w:hyperlink r:id="rId5" w:history="1">
        <w:r w:rsidRPr="00E8243C">
          <w:rPr>
            <w:rFonts w:ascii="Arial" w:hAnsi="Arial" w:cs="Arial"/>
            <w:b/>
            <w:bCs/>
            <w:color w:val="39438A"/>
            <w:sz w:val="17"/>
            <w:u w:val="single"/>
            <w:lang w:eastAsia="pl-PL"/>
          </w:rPr>
          <w:t>formularz zgłoszeniowy</w:t>
        </w:r>
      </w:hyperlink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i wysłać go w wersji elektronicznej na adres </w:t>
      </w:r>
      <w:hyperlink r:id="rId6" w:history="1">
        <w:r w:rsidRPr="00E8243C">
          <w:rPr>
            <w:rFonts w:ascii="Arial" w:hAnsi="Arial" w:cs="Arial"/>
            <w:color w:val="39438A"/>
            <w:sz w:val="17"/>
            <w:u w:val="single"/>
            <w:lang w:eastAsia="pl-PL"/>
          </w:rPr>
          <w:t>e.dmochowska@filantropia.org.pl</w:t>
        </w:r>
      </w:hyperlink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 w terminie do 28 marca 2022 roku.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Do udziału w programie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tutoringu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zaproszonych zostanie 6 wybranych Grup Inicjatywnych. Program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tutoringu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 xml:space="preserve"> obejmuje: szkolenie z metody animacji społeczności lokalnych, mini-granty na przeprowadzenie lokalnej diagnozy i konsultacji społecznych w wysokości 3 tysięcy złotych oraz wsparcie ekspertów i animatorów, udział w szkoleniach,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webinariach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Szczegółowe informacje dostępne są w </w:t>
      </w:r>
      <w:hyperlink r:id="rId7" w:tgtFrame="_blank" w:history="1">
        <w:r w:rsidRPr="00E8243C">
          <w:rPr>
            <w:rFonts w:ascii="Arial" w:hAnsi="Arial" w:cs="Arial"/>
            <w:b/>
            <w:bCs/>
            <w:color w:val="39438A"/>
            <w:sz w:val="17"/>
            <w:u w:val="single"/>
            <w:lang w:eastAsia="pl-PL"/>
          </w:rPr>
          <w:t>regulaminie konkursu</w:t>
        </w:r>
      </w:hyperlink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[Aktualizacja: 15.03.2022]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Nabór wniosków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został przedłużony do 28 marca 2022 r. 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(pierwotny termin do 14 marca). W związku z bieżącą sytuacją umożliwiamy 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ukierunkowanie partnerskich projektów na wsparcie dla uchodźców z Ukrainy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. Regulamin został zaktualizowany o stosowne zapisy.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 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Więcej</w:t>
      </w:r>
      <w:r w:rsidRPr="00E8243C">
        <w:rPr>
          <w:rFonts w:ascii="Arial" w:hAnsi="Arial" w:cs="Arial"/>
          <w:b/>
          <w:bCs/>
          <w:color w:val="0A0A0A"/>
          <w:sz w:val="17"/>
          <w:lang w:eastAsia="pl-PL"/>
        </w:rPr>
        <w:t> o programie: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hyperlink r:id="rId8" w:history="1">
        <w:r w:rsidRPr="00E8243C">
          <w:rPr>
            <w:rFonts w:ascii="Arial" w:hAnsi="Arial" w:cs="Arial"/>
            <w:color w:val="39438A"/>
            <w:sz w:val="17"/>
            <w:u w:val="single"/>
            <w:lang w:eastAsia="pl-PL"/>
          </w:rPr>
          <w:t>http://www.lokalnepartnerstwa.org.pl/o-programie/</w:t>
        </w:r>
      </w:hyperlink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Dodatkowych informacji na temat konkursu oraz programu „Lokalne Partnerstwa PAFW” udzielają:</w:t>
      </w:r>
    </w:p>
    <w:p w:rsidR="00E8243C" w:rsidRPr="00E8243C" w:rsidRDefault="00E8243C" w:rsidP="00E824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A0A0A"/>
          <w:sz w:val="17"/>
          <w:szCs w:val="17"/>
          <w:lang w:eastAsia="pl-PL"/>
        </w:rPr>
      </w:pP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Emilia Dmochowska: </w:t>
      </w:r>
      <w:hyperlink r:id="rId9" w:history="1">
        <w:r w:rsidRPr="00E8243C">
          <w:rPr>
            <w:rFonts w:ascii="Arial" w:hAnsi="Arial" w:cs="Arial"/>
            <w:color w:val="39438A"/>
            <w:sz w:val="17"/>
            <w:u w:val="single"/>
            <w:lang w:eastAsia="pl-PL"/>
          </w:rPr>
          <w:t>e.dmochowska@filantropia.org.pl</w:t>
        </w:r>
      </w:hyperlink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, (22) 622 01 22 wew. 16,</w:t>
      </w:r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br/>
        <w:t xml:space="preserve">Stanisław </w:t>
      </w:r>
      <w:proofErr w:type="spellStart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Głąbski</w:t>
      </w:r>
      <w:proofErr w:type="spellEnd"/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: </w:t>
      </w:r>
      <w:hyperlink r:id="rId10" w:history="1">
        <w:r w:rsidRPr="00E8243C">
          <w:rPr>
            <w:rFonts w:ascii="Arial" w:hAnsi="Arial" w:cs="Arial"/>
            <w:color w:val="39438A"/>
            <w:sz w:val="17"/>
            <w:u w:val="single"/>
            <w:lang w:eastAsia="pl-PL"/>
          </w:rPr>
          <w:t>s.glabski@filantropia.org.pl</w:t>
        </w:r>
      </w:hyperlink>
      <w:r w:rsidRPr="00E8243C">
        <w:rPr>
          <w:rFonts w:ascii="Arial" w:hAnsi="Arial" w:cs="Arial"/>
          <w:color w:val="0A0A0A"/>
          <w:sz w:val="17"/>
          <w:szCs w:val="17"/>
          <w:lang w:eastAsia="pl-PL"/>
        </w:rPr>
        <w:t>, (22) 622 01 22 wew. 24</w:t>
      </w:r>
    </w:p>
    <w:p w:rsidR="00E726A1" w:rsidRDefault="00E726A1"/>
    <w:sectPr w:rsidR="00E726A1" w:rsidSect="00E7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43C"/>
    <w:rsid w:val="000617CD"/>
    <w:rsid w:val="00133200"/>
    <w:rsid w:val="00404D22"/>
    <w:rsid w:val="00457B81"/>
    <w:rsid w:val="004F1AA7"/>
    <w:rsid w:val="00637384"/>
    <w:rsid w:val="00935D64"/>
    <w:rsid w:val="00AE764C"/>
    <w:rsid w:val="00B10710"/>
    <w:rsid w:val="00C4358F"/>
    <w:rsid w:val="00C46A63"/>
    <w:rsid w:val="00E726A1"/>
    <w:rsid w:val="00E8243C"/>
    <w:rsid w:val="00EA51F9"/>
    <w:rsid w:val="00F2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4C"/>
  </w:style>
  <w:style w:type="paragraph" w:styleId="Nagwek1">
    <w:name w:val="heading 1"/>
    <w:basedOn w:val="Normalny"/>
    <w:link w:val="Nagwek1Znak"/>
    <w:uiPriority w:val="9"/>
    <w:qFormat/>
    <w:rsid w:val="00AE76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libri,5 pt1"/>
    <w:basedOn w:val="Domylnaczcionkaakapitu"/>
    <w:uiPriority w:val="22"/>
    <w:qFormat/>
    <w:rsid w:val="00AE764C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AE76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24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243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824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epartnerstwa.org.pl/o-program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kalnepartnerstwa.org.pl/wp-content/uploads/2022/03/REGULAMIN_konkurs-otwarty_aktualizacja_15_03_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mochowska@filantropia.or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kalnepartnerstwa.org.pl/wp-content/uploads/2022/02/zal.-1.-Zgloszenie-do-udzialu-w-programie_LPPAFW_konkurs-otwarty-2022.docx" TargetMode="External"/><Relationship Id="rId10" Type="http://schemas.openxmlformats.org/officeDocument/2006/relationships/hyperlink" Target="mailto:s.glabski@filantropia.org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.dmochowska@filantrop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2022-03-25T07:08:00Z</dcterms:created>
  <dcterms:modified xsi:type="dcterms:W3CDTF">2022-03-25T07:09:00Z</dcterms:modified>
</cp:coreProperties>
</file>