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D104E" w14:textId="77777777" w:rsidR="00CD6130" w:rsidRPr="006025BB" w:rsidRDefault="00CD6130" w:rsidP="00A01830">
      <w:pPr>
        <w:spacing w:after="0"/>
        <w:contextualSpacing/>
        <w:jc w:val="center"/>
        <w:rPr>
          <w:rFonts w:ascii="Times New Roman" w:hAnsi="Times New Roman"/>
          <w:b/>
        </w:rPr>
      </w:pPr>
      <w:r w:rsidRPr="006025BB">
        <w:rPr>
          <w:rFonts w:ascii="Times New Roman" w:hAnsi="Times New Roman"/>
          <w:b/>
        </w:rPr>
        <w:t>UZASADNIENIE</w:t>
      </w:r>
    </w:p>
    <w:p w14:paraId="503747AB" w14:textId="77777777" w:rsidR="00CD6130" w:rsidRPr="006025BB" w:rsidRDefault="00CD6130" w:rsidP="00A01830">
      <w:pPr>
        <w:jc w:val="center"/>
        <w:rPr>
          <w:rFonts w:ascii="Times New Roman" w:hAnsi="Times New Roman"/>
        </w:rPr>
      </w:pPr>
      <w:r w:rsidRPr="006025BB">
        <w:rPr>
          <w:rFonts w:ascii="Times New Roman" w:hAnsi="Times New Roman"/>
          <w:b/>
        </w:rPr>
        <w:t xml:space="preserve">do projektu uchwały </w:t>
      </w:r>
      <w:r w:rsidRPr="006025BB">
        <w:rPr>
          <w:rFonts w:ascii="Times New Roman" w:hAnsi="Times New Roman"/>
          <w:b/>
          <w:bCs/>
        </w:rPr>
        <w:t>w sprawie miejscowego planu zagospodarowania przestrzennego gminy Karlino w części obrębu geodezyjnego Daszewo</w:t>
      </w:r>
    </w:p>
    <w:p w14:paraId="73C541F6" w14:textId="77777777" w:rsidR="00CD6130" w:rsidRPr="006025BB" w:rsidRDefault="00CD6130" w:rsidP="00A01830">
      <w:pPr>
        <w:spacing w:after="0"/>
        <w:contextualSpacing/>
        <w:jc w:val="center"/>
        <w:rPr>
          <w:rFonts w:ascii="Times New Roman" w:hAnsi="Times New Roman"/>
          <w:b/>
          <w:bCs/>
        </w:rPr>
      </w:pPr>
      <w:r w:rsidRPr="006025BB">
        <w:rPr>
          <w:rFonts w:ascii="Times New Roman" w:hAnsi="Times New Roman"/>
          <w:bCs/>
          <w:color w:val="000000"/>
        </w:rPr>
        <w:t xml:space="preserve">na podstawie art. 15 ust. 1 ustawy z dnia 27 marca 2003 r. o planowaniu i zagospodarowaniu przestrzennym </w:t>
      </w:r>
      <w:r w:rsidR="00B64E44" w:rsidRPr="009D4039">
        <w:rPr>
          <w:rFonts w:ascii="Times New Roman" w:hAnsi="Times New Roman"/>
        </w:rPr>
        <w:t>(tj. Dz. U. z 202</w:t>
      </w:r>
      <w:r w:rsidR="00B64E44">
        <w:rPr>
          <w:rFonts w:ascii="Times New Roman" w:hAnsi="Times New Roman"/>
        </w:rPr>
        <w:t>3</w:t>
      </w:r>
      <w:r w:rsidR="00B64E44" w:rsidRPr="009D4039">
        <w:rPr>
          <w:rFonts w:ascii="Times New Roman" w:hAnsi="Times New Roman"/>
        </w:rPr>
        <w:t xml:space="preserve"> r. poz.</w:t>
      </w:r>
      <w:r w:rsidR="00B64E44">
        <w:rPr>
          <w:rFonts w:ascii="Times New Roman" w:hAnsi="Times New Roman"/>
        </w:rPr>
        <w:t xml:space="preserve"> 977 ze zm.</w:t>
      </w:r>
      <w:r w:rsidR="00B64E44" w:rsidRPr="009D4039">
        <w:rPr>
          <w:rFonts w:ascii="Times New Roman" w:hAnsi="Times New Roman"/>
        </w:rPr>
        <w:t xml:space="preserve">)  </w:t>
      </w:r>
    </w:p>
    <w:p w14:paraId="71806836" w14:textId="77777777" w:rsidR="00CD6130" w:rsidRPr="006025BB" w:rsidRDefault="00CD6130" w:rsidP="00A01830">
      <w:pPr>
        <w:spacing w:after="0"/>
        <w:contextualSpacing/>
        <w:rPr>
          <w:rFonts w:ascii="Times New Roman" w:hAnsi="Times New Roman"/>
        </w:rPr>
      </w:pPr>
    </w:p>
    <w:p w14:paraId="662AC48B" w14:textId="77777777" w:rsidR="00CD6130" w:rsidRPr="00CD6130" w:rsidRDefault="00CD6130" w:rsidP="00A01830">
      <w:pPr>
        <w:pStyle w:val="NormalnyWeb"/>
        <w:spacing w:after="0" w:line="276" w:lineRule="auto"/>
        <w:ind w:firstLine="426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Zgodnie z uchwałą </w:t>
      </w:r>
      <w:r w:rsidR="00B64E44" w:rsidRPr="00B64E44">
        <w:rPr>
          <w:color w:val="000000"/>
          <w:sz w:val="22"/>
          <w:szCs w:val="22"/>
        </w:rPr>
        <w:t>Nr XLVIII/492 z dnia 27 maja 2022 r. w sprawie przystąpienia do sporządzenia miejscowego planu zagospodarowania przestrzennego gminy Karlino w części obrębu geodezyjnego Daszewo</w:t>
      </w:r>
      <w:r w:rsidRPr="00CD6130">
        <w:rPr>
          <w:color w:val="000000"/>
          <w:sz w:val="22"/>
          <w:szCs w:val="22"/>
        </w:rPr>
        <w:t xml:space="preserve"> </w:t>
      </w:r>
      <w:r w:rsidRPr="006025BB">
        <w:rPr>
          <w:color w:val="000000"/>
          <w:sz w:val="22"/>
          <w:szCs w:val="22"/>
        </w:rPr>
        <w:t>przystąpiono do sporządzenia miejscowego planu zagospodarowania przestrzennego.</w:t>
      </w:r>
      <w:r w:rsidR="00B64E44">
        <w:rPr>
          <w:color w:val="000000"/>
          <w:sz w:val="22"/>
          <w:szCs w:val="22"/>
        </w:rPr>
        <w:t xml:space="preserve"> </w:t>
      </w:r>
      <w:r w:rsidRPr="006025BB">
        <w:rPr>
          <w:color w:val="000000"/>
          <w:sz w:val="22"/>
          <w:szCs w:val="22"/>
        </w:rPr>
        <w:t xml:space="preserve">Obecnie obszar opracowania </w:t>
      </w:r>
      <w:r>
        <w:rPr>
          <w:color w:val="000000"/>
          <w:sz w:val="22"/>
          <w:szCs w:val="22"/>
        </w:rPr>
        <w:t xml:space="preserve">jest objęty ustaleniami </w:t>
      </w:r>
      <w:r w:rsidR="00742233" w:rsidRPr="00742233">
        <w:rPr>
          <w:color w:val="000000"/>
          <w:sz w:val="22"/>
          <w:szCs w:val="22"/>
        </w:rPr>
        <w:t xml:space="preserve">zmiany miejscowego planu zagospodarowania przestrzennego w zakresie jednostek 1 P,U, 2 P,U, 01 KD.D, E 1Kps 1 </w:t>
      </w:r>
      <w:r w:rsidRPr="00CD6130">
        <w:rPr>
          <w:color w:val="000000"/>
          <w:sz w:val="22"/>
          <w:szCs w:val="22"/>
        </w:rPr>
        <w:t xml:space="preserve">(uchwała nr </w:t>
      </w:r>
      <w:r w:rsidR="00B64E44" w:rsidRPr="00B64E44">
        <w:rPr>
          <w:color w:val="000000"/>
          <w:sz w:val="22"/>
          <w:szCs w:val="22"/>
        </w:rPr>
        <w:t>XXX/313/13</w:t>
      </w:r>
      <w:r w:rsidR="00B64E44">
        <w:rPr>
          <w:color w:val="000000"/>
          <w:sz w:val="22"/>
          <w:szCs w:val="22"/>
        </w:rPr>
        <w:t xml:space="preserve"> </w:t>
      </w:r>
      <w:r w:rsidR="00742233" w:rsidRPr="00B64E44">
        <w:rPr>
          <w:color w:val="000000"/>
          <w:sz w:val="22"/>
          <w:szCs w:val="22"/>
        </w:rPr>
        <w:t xml:space="preserve">Rady Miejskiej </w:t>
      </w:r>
      <w:r w:rsidR="00742233">
        <w:rPr>
          <w:color w:val="000000"/>
          <w:sz w:val="22"/>
          <w:szCs w:val="22"/>
        </w:rPr>
        <w:t>w</w:t>
      </w:r>
      <w:r w:rsidR="00742233" w:rsidRPr="00B64E44">
        <w:rPr>
          <w:color w:val="000000"/>
          <w:sz w:val="22"/>
          <w:szCs w:val="22"/>
        </w:rPr>
        <w:t xml:space="preserve"> Karlinie</w:t>
      </w:r>
      <w:r w:rsidR="00742233">
        <w:rPr>
          <w:color w:val="000000"/>
          <w:sz w:val="22"/>
          <w:szCs w:val="22"/>
        </w:rPr>
        <w:t xml:space="preserve"> </w:t>
      </w:r>
      <w:r w:rsidR="00B64E44" w:rsidRPr="00B64E44">
        <w:rPr>
          <w:color w:val="000000"/>
          <w:sz w:val="22"/>
          <w:szCs w:val="22"/>
        </w:rPr>
        <w:t>z dnia 29 stycznia 2013</w:t>
      </w:r>
      <w:r w:rsidR="00742233">
        <w:rPr>
          <w:color w:val="000000"/>
          <w:sz w:val="22"/>
          <w:szCs w:val="22"/>
        </w:rPr>
        <w:t xml:space="preserve"> r.).</w:t>
      </w:r>
    </w:p>
    <w:p w14:paraId="11C2FC1D" w14:textId="77777777" w:rsidR="00CD6130" w:rsidRPr="006025BB" w:rsidRDefault="00CD6130" w:rsidP="00A01830">
      <w:pPr>
        <w:pStyle w:val="NormalnyWeb"/>
        <w:spacing w:after="0" w:line="276" w:lineRule="auto"/>
        <w:ind w:firstLine="426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Celem opracowanego planu miejscowego jest określenie przeznaczenia terenów oraz zasad zagospodarowania i zabudowy, zgodnie z aktualną polityką przestrzenną, zawartą w Studium uwarunkowań i kierunków zagospodarowania przestrzennego. </w:t>
      </w:r>
    </w:p>
    <w:p w14:paraId="004EA26E" w14:textId="77777777" w:rsidR="00CD6130" w:rsidRPr="006025BB" w:rsidRDefault="00CD6130" w:rsidP="00A01830">
      <w:pPr>
        <w:pStyle w:val="NormalnyWeb"/>
        <w:spacing w:after="0" w:line="276" w:lineRule="auto"/>
        <w:ind w:firstLine="426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Zawarto w nim ustalenia m.in.:  </w:t>
      </w:r>
    </w:p>
    <w:p w14:paraId="63BA0AC9" w14:textId="77777777" w:rsidR="00CD6130" w:rsidRPr="006025BB" w:rsidRDefault="00CD6130" w:rsidP="00A01830">
      <w:pPr>
        <w:pStyle w:val="NormalnyWeb"/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dotyczące zasad kształtowania zabudowy i zagospodarowania terenów; </w:t>
      </w:r>
    </w:p>
    <w:p w14:paraId="733C9D08" w14:textId="77777777" w:rsidR="00CD6130" w:rsidRPr="006025BB" w:rsidRDefault="00CD6130" w:rsidP="00A01830">
      <w:pPr>
        <w:pStyle w:val="NormalnyWeb"/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zapewniające rozwój zabudowy produkcyjnej i przemysłowej; </w:t>
      </w:r>
    </w:p>
    <w:p w14:paraId="7761263A" w14:textId="77777777" w:rsidR="00CD6130" w:rsidRPr="006025BB" w:rsidRDefault="00CD6130" w:rsidP="00A01830">
      <w:pPr>
        <w:pStyle w:val="NormalnyWeb"/>
        <w:numPr>
          <w:ilvl w:val="0"/>
          <w:numId w:val="4"/>
        </w:numPr>
        <w:spacing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>skutecznie chroniące walory kulturowe i przyrodnicze terenu opracowania planu.</w:t>
      </w:r>
    </w:p>
    <w:p w14:paraId="650475AE" w14:textId="77777777" w:rsidR="00CD6130" w:rsidRPr="006025BB" w:rsidRDefault="00CD6130" w:rsidP="00A01830">
      <w:pPr>
        <w:pStyle w:val="NormalnyWeb"/>
        <w:spacing w:after="0" w:line="276" w:lineRule="auto"/>
        <w:ind w:firstLine="426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Zapisy planu miejscowego ustalają zasady kompozycji przestrzennej na nowych terenach inwestycyjnych oraz zasady kształtowania zabudowy racjonalnie wykorzystujące przestrzeń </w:t>
      </w:r>
      <w:r w:rsidRPr="006025BB">
        <w:rPr>
          <w:color w:val="000000"/>
          <w:sz w:val="22"/>
          <w:szCs w:val="22"/>
        </w:rPr>
        <w:br/>
        <w:t>i wprowadzające ład przestrzenny w zgodzie z uwarunkowaniami środowiskowymi oraz kulturowymi.</w:t>
      </w:r>
    </w:p>
    <w:p w14:paraId="772382BA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firstLine="426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>Ustalenia planu miejscowego określają m.in.: pr</w:t>
      </w:r>
      <w:r>
        <w:rPr>
          <w:color w:val="000000"/>
          <w:sz w:val="22"/>
          <w:szCs w:val="22"/>
        </w:rPr>
        <w:t xml:space="preserve">zeznaczenie, zasady zabudowy </w:t>
      </w:r>
      <w:r>
        <w:rPr>
          <w:color w:val="000000"/>
          <w:sz w:val="22"/>
          <w:szCs w:val="22"/>
        </w:rPr>
        <w:br/>
      </w:r>
      <w:r w:rsidRPr="006025BB">
        <w:rPr>
          <w:color w:val="000000"/>
          <w:sz w:val="22"/>
          <w:szCs w:val="22"/>
        </w:rPr>
        <w:t xml:space="preserve">i zagospodarowania terenu, zasady prawidłowej obsługi komunikacyjnej w powiązaniu </w:t>
      </w:r>
      <w:r w:rsidRPr="006025BB">
        <w:rPr>
          <w:color w:val="000000"/>
          <w:sz w:val="22"/>
          <w:szCs w:val="22"/>
        </w:rPr>
        <w:br/>
        <w:t xml:space="preserve">z istniejącym układem komunikacyjnym, zasady ochrony środowiska oraz systemowe rozwiązania w zakresie infrastruktury technicznej. </w:t>
      </w:r>
    </w:p>
    <w:p w14:paraId="285B16B4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firstLine="426"/>
        <w:contextualSpacing/>
        <w:jc w:val="both"/>
        <w:rPr>
          <w:color w:val="000000"/>
          <w:sz w:val="22"/>
          <w:szCs w:val="22"/>
        </w:rPr>
      </w:pPr>
    </w:p>
    <w:p w14:paraId="4982B80E" w14:textId="77777777" w:rsidR="00CD6130" w:rsidRPr="006025BB" w:rsidRDefault="00CD6130" w:rsidP="00A01830">
      <w:pPr>
        <w:pStyle w:val="NormalnyWeb"/>
        <w:numPr>
          <w:ilvl w:val="0"/>
          <w:numId w:val="1"/>
        </w:numPr>
        <w:spacing w:before="0" w:beforeAutospacing="0" w:after="240" w:line="276" w:lineRule="auto"/>
        <w:ind w:left="714" w:hanging="357"/>
        <w:jc w:val="both"/>
        <w:rPr>
          <w:b/>
          <w:color w:val="000000"/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t xml:space="preserve">Sposób realizacji wymogów wynikających z art. 1 ust. 2-4 ustawy o planowaniu </w:t>
      </w:r>
      <w:r w:rsidRPr="006025BB">
        <w:rPr>
          <w:b/>
          <w:color w:val="000000"/>
          <w:sz w:val="22"/>
          <w:szCs w:val="22"/>
        </w:rPr>
        <w:br/>
        <w:t>i zagospodarowaniu przestrzennym</w:t>
      </w:r>
    </w:p>
    <w:p w14:paraId="36DBC18F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t>Wymagania ładu przestrzennego, w tym urbanistyki i architektury</w:t>
      </w:r>
      <w:r w:rsidRPr="006025BB">
        <w:rPr>
          <w:color w:val="000000"/>
          <w:sz w:val="22"/>
          <w:szCs w:val="22"/>
        </w:rPr>
        <w:t xml:space="preserve"> </w:t>
      </w:r>
    </w:p>
    <w:p w14:paraId="279D67F0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Plan miejscowy w §6 zawiera ustalenia dotyczące zasad ochrony i kształtowania ładu przestrzennego, w tym wymienia elementy przestrzeni i krajobrazu podlegające ochronie. Podstawowe zasady kształtowania ładu przestrzennego dla poszczególnych terenów zostały również określone poprzez zasady ustalone dla poszczególnych terenów w Rozdziale 3 – tj. przepisach szczegółowych. Przepisy te określają m.in.: linie rozgraniczające, linie zabudowy, przeznaczenie terenu, wskaźniki zagospodarowania terenu i parametry kształtowania zabudowy oraz ograniczenia w zakresie stosowania materiałów wykończeniowych obiektów. </w:t>
      </w:r>
    </w:p>
    <w:p w14:paraId="5CA9259F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t>Walory architektoniczne i krajobrazowe</w:t>
      </w:r>
      <w:r w:rsidRPr="006025BB">
        <w:rPr>
          <w:color w:val="000000"/>
          <w:sz w:val="22"/>
          <w:szCs w:val="22"/>
        </w:rPr>
        <w:t xml:space="preserve"> </w:t>
      </w:r>
    </w:p>
    <w:p w14:paraId="601530E2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Chronione są głównie poprzez zapisy §8 oraz przepisy szczegółowe dotyczące każdego </w:t>
      </w:r>
      <w:r w:rsidRPr="006025BB">
        <w:rPr>
          <w:color w:val="000000"/>
          <w:sz w:val="22"/>
          <w:szCs w:val="22"/>
        </w:rPr>
        <w:br/>
        <w:t>z terenów. Walory te są chronione m.in. poprzez zapisy dotyczące wskaźników powierzchni zagospodarowania, gabaryty budynków oraz intensywność zabudowy.</w:t>
      </w:r>
    </w:p>
    <w:p w14:paraId="28012C10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b/>
          <w:color w:val="000000"/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t>Wymagania ochrony środowiska, w tym gospodarowania wodami i ochrony gruntów rolnych i leśnych:</w:t>
      </w:r>
    </w:p>
    <w:p w14:paraId="5004331C" w14:textId="77777777" w:rsidR="00CD6130" w:rsidRPr="002B1485" w:rsidRDefault="00CD6130" w:rsidP="00A01830">
      <w:pPr>
        <w:pStyle w:val="NormalnyWeb"/>
        <w:spacing w:before="0" w:beforeAutospacing="0" w:after="0" w:line="276" w:lineRule="auto"/>
        <w:ind w:left="72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025BB">
        <w:rPr>
          <w:color w:val="000000"/>
          <w:sz w:val="22"/>
          <w:szCs w:val="22"/>
        </w:rPr>
        <w:t>O</w:t>
      </w:r>
      <w:r w:rsidRPr="006025BB">
        <w:rPr>
          <w:rFonts w:eastAsia="SimSun"/>
          <w:kern w:val="1"/>
          <w:sz w:val="22"/>
          <w:szCs w:val="22"/>
          <w:lang w:eastAsia="hi-IN" w:bidi="hi-IN"/>
        </w:rPr>
        <w:t xml:space="preserve">bszar planu nie jest objęty formami ochrony przyrody ustanowionymi na podstawie </w:t>
      </w:r>
      <w:r w:rsidRPr="002B1485">
        <w:rPr>
          <w:rFonts w:eastAsia="SimSun"/>
          <w:kern w:val="1"/>
          <w:sz w:val="22"/>
          <w:szCs w:val="22"/>
          <w:lang w:eastAsia="hi-IN" w:bidi="hi-IN"/>
        </w:rPr>
        <w:t>przepisów odrębnych z zakresu ochrony przyrody. W planie ustalono m.in.:</w:t>
      </w:r>
    </w:p>
    <w:p w14:paraId="4C299615" w14:textId="77777777" w:rsidR="00742233" w:rsidRPr="00A01830" w:rsidRDefault="00742233" w:rsidP="00A01830">
      <w:pPr>
        <w:pStyle w:val="Akapitzlist"/>
        <w:numPr>
          <w:ilvl w:val="0"/>
          <w:numId w:val="15"/>
        </w:numPr>
        <w:spacing w:after="0"/>
        <w:ind w:left="1068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lastRenderedPageBreak/>
        <w:t>W zakresie ochrony gruntów i wód:</w:t>
      </w:r>
    </w:p>
    <w:p w14:paraId="41042B7F" w14:textId="77777777" w:rsidR="00A01830" w:rsidRPr="00A01830" w:rsidRDefault="00A01830" w:rsidP="00A0183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 lokalizacji obiektów i prowadzenia prac mogących pogorszyć stosunki wodne na działkach sąsiednich;</w:t>
      </w:r>
    </w:p>
    <w:p w14:paraId="58058BC4" w14:textId="77777777" w:rsidR="00A01830" w:rsidRPr="00A01830" w:rsidRDefault="00A01830" w:rsidP="00A0183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użytkowanie i zagospodarowanie terenu nie może stanowić źródła zanieczyszczeń dla środowiska wodno-gruntowego; w celu ochrony wód podziemnych, w miejscach gromadzenia i przechowywania paliw, smarów i innych substancji mogących negatywnie wpłynąć na ich czystość, nakazuje się uszczelnienie podłoża i zabezpieczenie przed przenikaniem zanieczyszczeń do gruntu i wód zgodnie z przepisami odrębnymi;</w:t>
      </w:r>
    </w:p>
    <w:p w14:paraId="67CFB5DE" w14:textId="77777777" w:rsidR="00A01830" w:rsidRPr="00A01830" w:rsidRDefault="00A01830" w:rsidP="00A0183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 magazynowania materiałów mogących powodować zanieczyszczenie środowiska w miejscach nieizolowanych od powierzchni terenu;</w:t>
      </w:r>
    </w:p>
    <w:p w14:paraId="2680F36C" w14:textId="77777777" w:rsidR="00A01830" w:rsidRPr="00A01830" w:rsidRDefault="00A01830" w:rsidP="00A0183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zakazuje się stosowania rozwiązań odwodnieniowych obiektów w sąsiedztwie linii kolejowych związanych z odprowadzeniem wód opadowych i roztopowych na tereny kolejowe i korzystania z kolejowych urządzeń odwaniających.</w:t>
      </w:r>
    </w:p>
    <w:p w14:paraId="3C072DAF" w14:textId="77777777" w:rsidR="00A01830" w:rsidRPr="00A01830" w:rsidRDefault="00A01830" w:rsidP="00A0183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W zakresie ochrony przyrody:</w:t>
      </w:r>
    </w:p>
    <w:p w14:paraId="7A7055EE" w14:textId="77777777" w:rsidR="00A01830" w:rsidRPr="00A01830" w:rsidRDefault="00A01830" w:rsidP="00A018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zakazuje się podejmowania działań mogących pogorszyć stan siedlisk przyrodniczych lub siedlisk gatunków roślin i zwierząt, a także mogących wpłynąć negatywnie na gatunki dla ochrony których zostały wyznaczone, leżące poza granicami planu obszary Natura 2000;</w:t>
      </w:r>
    </w:p>
    <w:p w14:paraId="429D96FA" w14:textId="77777777" w:rsidR="00A01830" w:rsidRPr="00A01830" w:rsidRDefault="00A01830" w:rsidP="00A018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prace ziemne prowadzone w pobliżu i bezpośrednio przy drzewach, które nie są przeznaczone do wycinki, należy wykonać w sposób niepowodujący zagrożeń dla systemu korzeniowego oraz dla pni drzew;</w:t>
      </w:r>
    </w:p>
    <w:p w14:paraId="32B5D70D" w14:textId="77777777" w:rsidR="00A01830" w:rsidRPr="00A01830" w:rsidRDefault="00A01830" w:rsidP="00A018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do kształtowania zieleni nie wprowadzać roślin z gatunków uznanych za inwazyjne;</w:t>
      </w:r>
    </w:p>
    <w:p w14:paraId="0507EC96" w14:textId="77777777" w:rsidR="00A01830" w:rsidRPr="00A01830" w:rsidRDefault="00A01830" w:rsidP="00A0183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 xml:space="preserve">obowiązuje zapewnienie ochrony dziko występujących roślin, grzybów, zwierząt oraz siedlisk zgodnie z przepisami o ochronie przyrody. </w:t>
      </w:r>
    </w:p>
    <w:p w14:paraId="1C0BE852" w14:textId="77777777" w:rsidR="00A01830" w:rsidRPr="00A01830" w:rsidRDefault="00A01830" w:rsidP="00A0183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W zakresie gospodarowania odpadami;</w:t>
      </w:r>
    </w:p>
    <w:p w14:paraId="0FDC639D" w14:textId="77777777" w:rsidR="00A01830" w:rsidRPr="00A01830" w:rsidRDefault="00A01830" w:rsidP="00A0183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gospodarka odpadami winna być prowadzona zgodnie z przepisami odrębnymi, w tym m.in. ustawą o odpadach, ustawą Prawo ochrony środowiska i regulaminem utrzymania porządku i czystości w gminie,</w:t>
      </w:r>
    </w:p>
    <w:p w14:paraId="14E63F00" w14:textId="77777777" w:rsidR="00A01830" w:rsidRPr="00A01830" w:rsidRDefault="00A01830" w:rsidP="00A0183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zakazuje się działań i użytkowania terenów, które mogą doprowadzić do jego degradacji w tym: wysypywania gruzu, składowania nieczystości i odpadów (poza miejscami do tego przeznaczonymi);</w:t>
      </w:r>
    </w:p>
    <w:p w14:paraId="600BA8FB" w14:textId="77777777" w:rsidR="00A01830" w:rsidRPr="00A01830" w:rsidRDefault="00A01830" w:rsidP="00A0183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wywóz odpadów stałych z obszaru objętego planem na wyznaczone dla potrzeb gminy tereny składowania, przeróbki, utylizacji lub spalania śmieci;</w:t>
      </w:r>
    </w:p>
    <w:p w14:paraId="3A5E980D" w14:textId="77777777" w:rsidR="00A01830" w:rsidRPr="00A01830" w:rsidRDefault="00A01830" w:rsidP="00A0183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 składowania odpadów niebezpiecznych.</w:t>
      </w:r>
    </w:p>
    <w:p w14:paraId="59FBEFA8" w14:textId="77777777" w:rsidR="00A01830" w:rsidRPr="00A01830" w:rsidRDefault="00A01830" w:rsidP="00A0183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W zakresie ochrony powietrza przed zanieczyszczeniami powietrza:</w:t>
      </w:r>
    </w:p>
    <w:p w14:paraId="3125DE11" w14:textId="77777777" w:rsidR="00A01830" w:rsidRPr="00A01830" w:rsidRDefault="00A01830" w:rsidP="00A018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nakazuje się stosowanie w celach grzewczych technologii, gwarantujących dotrzymanie norm emisyjnych;</w:t>
      </w:r>
    </w:p>
    <w:p w14:paraId="14C50A72" w14:textId="77777777" w:rsidR="00A01830" w:rsidRPr="00A01830" w:rsidRDefault="00A01830" w:rsidP="00A0183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zakaz składowania na wolnym powietrzu materiałów emitujących odór.</w:t>
      </w:r>
    </w:p>
    <w:p w14:paraId="662E69D7" w14:textId="55E29975" w:rsidR="00A01830" w:rsidRPr="00A01830" w:rsidRDefault="00A01830" w:rsidP="00A0183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i/>
          <w:iCs/>
        </w:rPr>
      </w:pPr>
      <w:r w:rsidRPr="00A01830">
        <w:rPr>
          <w:rFonts w:ascii="Times New Roman" w:hAnsi="Times New Roman"/>
          <w:i/>
          <w:iCs/>
        </w:rPr>
        <w:t>Granice stref ochronnych związanych z ograniczeniami w zabudowie oraz zagospodarowaniu i użytkowaniu terenów, na których rozmieszczone będą obiekty i urządzenia wytwarzające energię ze źródeł odnawialnych, pokrywają się z granicami terenu przeznaczonego pod zainwestowanie.</w:t>
      </w:r>
    </w:p>
    <w:p w14:paraId="071920DE" w14:textId="73E06D56" w:rsidR="00A01830" w:rsidRPr="00A01830" w:rsidRDefault="00D8657F" w:rsidP="00A01830">
      <w:pPr>
        <w:spacing w:after="0"/>
        <w:ind w:left="633"/>
        <w:jc w:val="both"/>
        <w:rPr>
          <w:rFonts w:ascii="Times New Roman" w:hAnsi="Times New Roman"/>
        </w:rPr>
      </w:pPr>
      <w:r w:rsidRPr="00C96002">
        <w:rPr>
          <w:rFonts w:ascii="Times New Roman" w:hAnsi="Times New Roman"/>
        </w:rPr>
        <w:t xml:space="preserve">Plan uzyskał zgodę Ministra Klimatu i Środowiska wyrażoną w decyzji znak </w:t>
      </w:r>
      <w:r w:rsidR="00C96002" w:rsidRPr="00C96002">
        <w:rPr>
          <w:rFonts w:ascii="Times New Roman" w:hAnsi="Times New Roman"/>
        </w:rPr>
        <w:t>DLŁ-WNL.8130.46.2024.AZ z dnia 11.07.2024 r.</w:t>
      </w:r>
      <w:r w:rsidRPr="00C96002">
        <w:rPr>
          <w:rFonts w:ascii="Times New Roman" w:hAnsi="Times New Roman"/>
        </w:rPr>
        <w:t xml:space="preserve"> na zmianę p</w:t>
      </w:r>
      <w:r w:rsidR="00A01830" w:rsidRPr="00C96002">
        <w:rPr>
          <w:rFonts w:ascii="Times New Roman" w:hAnsi="Times New Roman"/>
        </w:rPr>
        <w:t xml:space="preserve">rzeznaczenie </w:t>
      </w:r>
      <w:r w:rsidR="00C96002" w:rsidRPr="00C96002">
        <w:rPr>
          <w:rFonts w:ascii="Times New Roman" w:hAnsi="Times New Roman"/>
        </w:rPr>
        <w:t>9,81 ha gruntów leśnych na cele nieleśne stanowiących części działek ewidencyjnych nr 107/7, 107/9 oraz całe działki ewidencyjne nr 107/10, 107/11 z obrębu ewidencyjnego 0007 Daszewo</w:t>
      </w:r>
      <w:r w:rsidR="00A01830" w:rsidRPr="00C96002">
        <w:rPr>
          <w:rFonts w:ascii="Times New Roman" w:hAnsi="Times New Roman"/>
        </w:rPr>
        <w:t xml:space="preserve"> projektowanych pod 1 P-UH i 2 P-UH</w:t>
      </w:r>
      <w:r w:rsidRPr="00C96002">
        <w:rPr>
          <w:rFonts w:ascii="Times New Roman" w:hAnsi="Times New Roman"/>
        </w:rPr>
        <w:t>.</w:t>
      </w:r>
      <w:bookmarkStart w:id="0" w:name="_GoBack"/>
      <w:bookmarkEnd w:id="0"/>
    </w:p>
    <w:p w14:paraId="74FBA3DC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lastRenderedPageBreak/>
        <w:t>Wymagania ochrony dziedzictwa kulturowego i zabytków oraz dóbr kultury współczesnej</w:t>
      </w:r>
      <w:r w:rsidR="00742233">
        <w:rPr>
          <w:b/>
          <w:color w:val="000000"/>
          <w:sz w:val="22"/>
          <w:szCs w:val="22"/>
        </w:rPr>
        <w:t xml:space="preserve"> – </w:t>
      </w:r>
      <w:r w:rsidR="00742233" w:rsidRPr="00742233">
        <w:rPr>
          <w:color w:val="000000"/>
          <w:sz w:val="22"/>
          <w:szCs w:val="22"/>
        </w:rPr>
        <w:t>obszar objęty sporządzeniem planu miejscowego nie jest położony w granicach obszarów chronionych oraz nie stwierdzono na jego terenie stanowisk archeologicznych.</w:t>
      </w:r>
      <w:r w:rsidR="00742233">
        <w:rPr>
          <w:b/>
          <w:color w:val="000000"/>
          <w:sz w:val="22"/>
          <w:szCs w:val="22"/>
        </w:rPr>
        <w:t xml:space="preserve"> </w:t>
      </w:r>
    </w:p>
    <w:p w14:paraId="74CA1C04" w14:textId="77777777" w:rsidR="00CD6130" w:rsidRPr="006025BB" w:rsidRDefault="00CD6130" w:rsidP="00A01830">
      <w:pPr>
        <w:pStyle w:val="Akapitzlist"/>
        <w:widowControl w:val="0"/>
        <w:numPr>
          <w:ilvl w:val="0"/>
          <w:numId w:val="5"/>
        </w:numPr>
        <w:suppressAutoHyphens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6025BB">
        <w:rPr>
          <w:rFonts w:ascii="Times New Roman" w:eastAsia="SimSun" w:hAnsi="Times New Roman"/>
          <w:b/>
          <w:snapToGrid w:val="0"/>
          <w:kern w:val="1"/>
          <w:lang w:eastAsia="hi-IN" w:bidi="hi-IN"/>
        </w:rPr>
        <w:t>W</w:t>
      </w:r>
      <w:r w:rsidRPr="006025BB">
        <w:rPr>
          <w:rFonts w:ascii="Times New Roman" w:hAnsi="Times New Roman"/>
          <w:b/>
          <w:color w:val="000000"/>
        </w:rPr>
        <w:t>ymagania ochrony zdrowia oraz bezpieczeństwa ludzi i mienia, a także potrzeby osób niepełnosprawnych</w:t>
      </w:r>
      <w:r w:rsidRPr="006025BB">
        <w:rPr>
          <w:rFonts w:ascii="Times New Roman" w:hAnsi="Times New Roman"/>
          <w:color w:val="000000"/>
        </w:rPr>
        <w:t xml:space="preserve"> </w:t>
      </w:r>
    </w:p>
    <w:p w14:paraId="08A1B147" w14:textId="77777777" w:rsidR="00CD6130" w:rsidRPr="006025BB" w:rsidRDefault="00CD6130" w:rsidP="00A01830">
      <w:pPr>
        <w:pStyle w:val="Akapitzlist"/>
        <w:widowControl w:val="0"/>
        <w:suppressAutoHyphens/>
        <w:adjustRightInd w:val="0"/>
        <w:spacing w:after="0"/>
        <w:jc w:val="both"/>
        <w:textAlignment w:val="baseline"/>
        <w:rPr>
          <w:rFonts w:ascii="Times New Roman" w:eastAsia="SimSun" w:hAnsi="Times New Roman"/>
          <w:snapToGrid w:val="0"/>
          <w:kern w:val="1"/>
          <w:lang w:eastAsia="hi-IN" w:bidi="hi-IN"/>
        </w:rPr>
      </w:pPr>
      <w:r w:rsidRPr="006025BB">
        <w:rPr>
          <w:rFonts w:ascii="Times New Roman" w:eastAsia="SimSun" w:hAnsi="Times New Roman"/>
          <w:snapToGrid w:val="0"/>
          <w:kern w:val="1"/>
          <w:lang w:eastAsia="hi-IN" w:bidi="hi-IN"/>
        </w:rPr>
        <w:t xml:space="preserve">W granicach obszaru opracowania planu miejscowego nie występują: </w:t>
      </w:r>
    </w:p>
    <w:p w14:paraId="3E1AB2F5" w14:textId="77777777" w:rsidR="00CD6130" w:rsidRPr="006025BB" w:rsidRDefault="00CD6130" w:rsidP="00A01830">
      <w:pPr>
        <w:pStyle w:val="Akapitzlist"/>
        <w:widowControl w:val="0"/>
        <w:numPr>
          <w:ilvl w:val="0"/>
          <w:numId w:val="7"/>
        </w:numPr>
        <w:suppressAutoHyphens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6025BB">
        <w:rPr>
          <w:rFonts w:ascii="Times New Roman" w:hAnsi="Times New Roman"/>
          <w:color w:val="000000"/>
        </w:rPr>
        <w:t>strefy ochronne ujęć wód podziemnych;</w:t>
      </w:r>
    </w:p>
    <w:p w14:paraId="21502364" w14:textId="77777777" w:rsidR="00CD6130" w:rsidRPr="006025BB" w:rsidRDefault="00CD6130" w:rsidP="00A01830">
      <w:pPr>
        <w:pStyle w:val="Akapitzlist"/>
        <w:widowControl w:val="0"/>
        <w:numPr>
          <w:ilvl w:val="0"/>
          <w:numId w:val="7"/>
        </w:numPr>
        <w:suppressAutoHyphens/>
        <w:adjustRightInd w:val="0"/>
        <w:spacing w:after="0"/>
        <w:jc w:val="both"/>
        <w:textAlignment w:val="baseline"/>
        <w:rPr>
          <w:rFonts w:ascii="Times New Roman" w:hAnsi="Times New Roman"/>
          <w:color w:val="000000"/>
        </w:rPr>
      </w:pPr>
      <w:r w:rsidRPr="006025BB">
        <w:rPr>
          <w:rFonts w:ascii="Times New Roman" w:hAnsi="Times New Roman"/>
          <w:color w:val="000000"/>
        </w:rPr>
        <w:t>tereny górnicze, obszary zagrożone powodzią, osuwaniem się mas ziemnych i krajobrazy priorytetowe</w:t>
      </w:r>
    </w:p>
    <w:p w14:paraId="1A6A8A9F" w14:textId="1CB2681F" w:rsidR="00CD6130" w:rsidRDefault="00CD6130" w:rsidP="00A01830">
      <w:pPr>
        <w:widowControl w:val="0"/>
        <w:suppressAutoHyphens/>
        <w:adjustRightInd w:val="0"/>
        <w:spacing w:after="0"/>
        <w:ind w:left="708"/>
        <w:jc w:val="both"/>
        <w:textAlignment w:val="baseline"/>
        <w:rPr>
          <w:rFonts w:ascii="Times New Roman" w:hAnsi="Times New Roman"/>
          <w:color w:val="000000"/>
        </w:rPr>
      </w:pPr>
      <w:r w:rsidRPr="006025BB">
        <w:rPr>
          <w:rFonts w:ascii="Times New Roman" w:hAnsi="Times New Roman"/>
          <w:color w:val="000000"/>
        </w:rPr>
        <w:t xml:space="preserve">Przez teren opracowania planu przebiegają gazociągi wysokiego ciśnienia oraz średniego ciśnienia. Wzdłuż gazociągów określono strefę kontrolowaną, zgodnie z przepisami odrębnymi. W strefie kontrolowanej występują ograniczenia w zabudowie i zagospodarowaniu terenu zgodnie z przepisami odrębnymi.  </w:t>
      </w:r>
    </w:p>
    <w:p w14:paraId="03513A71" w14:textId="1F91B401" w:rsidR="00D8657F" w:rsidRPr="006025BB" w:rsidRDefault="00D8657F" w:rsidP="00A01830">
      <w:pPr>
        <w:widowControl w:val="0"/>
        <w:suppressAutoHyphens/>
        <w:adjustRightInd w:val="0"/>
        <w:spacing w:after="0"/>
        <w:ind w:left="708"/>
        <w:jc w:val="both"/>
        <w:textAlignment w:val="baseline"/>
        <w:rPr>
          <w:rFonts w:ascii="Times New Roman" w:hAnsi="Times New Roman"/>
          <w:color w:val="000000"/>
        </w:rPr>
      </w:pPr>
      <w:r w:rsidRPr="00D8657F">
        <w:rPr>
          <w:rFonts w:ascii="Times New Roman" w:hAnsi="Times New Roman"/>
          <w:color w:val="000000"/>
        </w:rPr>
        <w:t xml:space="preserve">Wzdłuż wschodniej granicy obszaru objętego sporządzeniem planu miejscowego przebiega linia kolejowa nr 404 Szczecinek – Kołobrzeg o znaczeniu państwowym, linia ta stanowi teren zamknięty. Wzdłuż linii kolejowej, w pasie 20 m od granicy terenu kolejowego, zgodnie z rysunkiem planu, </w:t>
      </w:r>
      <w:r>
        <w:rPr>
          <w:rFonts w:ascii="Times New Roman" w:hAnsi="Times New Roman"/>
          <w:color w:val="000000"/>
        </w:rPr>
        <w:t>znajduje się</w:t>
      </w:r>
      <w:r w:rsidRPr="00D8657F">
        <w:rPr>
          <w:rFonts w:ascii="Times New Roman" w:hAnsi="Times New Roman"/>
          <w:color w:val="000000"/>
        </w:rPr>
        <w:t xml:space="preserve"> stref</w:t>
      </w:r>
      <w:r>
        <w:rPr>
          <w:rFonts w:ascii="Times New Roman" w:hAnsi="Times New Roman"/>
          <w:color w:val="000000"/>
        </w:rPr>
        <w:t>a</w:t>
      </w:r>
      <w:r w:rsidRPr="00D8657F">
        <w:rPr>
          <w:rFonts w:ascii="Times New Roman" w:hAnsi="Times New Roman"/>
          <w:color w:val="000000"/>
        </w:rPr>
        <w:t xml:space="preserve"> w której niezbędne jest spełnienie wymagań wynikających z przepisów odrębnych mających na celu zapewnienie bezpieczeństwa ruchu kolejowego, w szczególności wynikających z ustawy z dnia 28 marca 2003 r. o transporcie kolejowym (Dz. U. z 2021 r. poz. 1984 ze zm.) oraz przepisów wykonawczych.</w:t>
      </w:r>
    </w:p>
    <w:p w14:paraId="0454C0B2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t>Walory ekonomiczne</w:t>
      </w:r>
      <w:r w:rsidRPr="006025BB">
        <w:rPr>
          <w:color w:val="000000"/>
          <w:sz w:val="22"/>
          <w:szCs w:val="22"/>
        </w:rPr>
        <w:t xml:space="preserve"> </w:t>
      </w:r>
      <w:r w:rsidRPr="006025BB">
        <w:rPr>
          <w:b/>
          <w:color w:val="000000"/>
          <w:sz w:val="22"/>
          <w:szCs w:val="22"/>
        </w:rPr>
        <w:t>przestrzeni</w:t>
      </w:r>
      <w:r w:rsidRPr="006025BB">
        <w:rPr>
          <w:color w:val="000000"/>
          <w:sz w:val="22"/>
          <w:szCs w:val="22"/>
        </w:rPr>
        <w:t xml:space="preserve"> </w:t>
      </w:r>
    </w:p>
    <w:p w14:paraId="4271125A" w14:textId="77777777" w:rsidR="00CD6130" w:rsidRPr="006025BB" w:rsidRDefault="00CD6130" w:rsidP="00A01830">
      <w:pPr>
        <w:pStyle w:val="NormalnyWeb"/>
        <w:spacing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>Z uwagi na</w:t>
      </w:r>
      <w:r w:rsidR="00782378">
        <w:rPr>
          <w:sz w:val="22"/>
          <w:szCs w:val="22"/>
        </w:rPr>
        <w:t xml:space="preserve"> fakt, iż </w:t>
      </w:r>
      <w:r w:rsidRPr="006025BB">
        <w:rPr>
          <w:sz w:val="22"/>
          <w:szCs w:val="22"/>
        </w:rPr>
        <w:t xml:space="preserve">tereny inwestycyjne, wyznaczone </w:t>
      </w:r>
      <w:r w:rsidR="00782378">
        <w:rPr>
          <w:sz w:val="22"/>
          <w:szCs w:val="22"/>
        </w:rPr>
        <w:t xml:space="preserve">zostały głównie </w:t>
      </w:r>
      <w:r w:rsidRPr="006025BB">
        <w:rPr>
          <w:sz w:val="22"/>
          <w:szCs w:val="22"/>
        </w:rPr>
        <w:t xml:space="preserve">na gruntach rolnych </w:t>
      </w:r>
      <w:r w:rsidR="00742233">
        <w:rPr>
          <w:sz w:val="22"/>
          <w:szCs w:val="22"/>
        </w:rPr>
        <w:t xml:space="preserve">i leśnych </w:t>
      </w:r>
      <w:r w:rsidR="00782378">
        <w:rPr>
          <w:sz w:val="22"/>
          <w:szCs w:val="22"/>
        </w:rPr>
        <w:t>–</w:t>
      </w:r>
      <w:r w:rsidRPr="006025BB">
        <w:rPr>
          <w:sz w:val="22"/>
          <w:szCs w:val="22"/>
        </w:rPr>
        <w:t xml:space="preserve"> przeznacz</w:t>
      </w:r>
      <w:r w:rsidR="00782378">
        <w:rPr>
          <w:sz w:val="22"/>
          <w:szCs w:val="22"/>
        </w:rPr>
        <w:t xml:space="preserve">enie ich pod zabudowę, spowoduje wzrost ich wartości. Zagadnienie to zostało już poruszone </w:t>
      </w:r>
      <w:r w:rsidR="002B1485">
        <w:rPr>
          <w:sz w:val="22"/>
          <w:szCs w:val="22"/>
        </w:rPr>
        <w:t>na etapie wcześniej uchwalonego planu miejscowego.</w:t>
      </w:r>
      <w:r w:rsidR="00782378">
        <w:rPr>
          <w:sz w:val="22"/>
          <w:szCs w:val="22"/>
        </w:rPr>
        <w:t xml:space="preserve"> Przeznaczenie nowych terenów po</w:t>
      </w:r>
      <w:r w:rsidR="006F03F8">
        <w:rPr>
          <w:sz w:val="22"/>
          <w:szCs w:val="22"/>
        </w:rPr>
        <w:t>d</w:t>
      </w:r>
      <w:r w:rsidR="00782378">
        <w:rPr>
          <w:sz w:val="22"/>
          <w:szCs w:val="22"/>
        </w:rPr>
        <w:t xml:space="preserve"> zainwestowanie </w:t>
      </w:r>
      <w:r w:rsidR="006F03F8">
        <w:rPr>
          <w:sz w:val="22"/>
          <w:szCs w:val="22"/>
        </w:rPr>
        <w:t>m</w:t>
      </w:r>
      <w:r w:rsidRPr="006025BB">
        <w:rPr>
          <w:sz w:val="22"/>
          <w:szCs w:val="22"/>
        </w:rPr>
        <w:t xml:space="preserve">oże to również przyczynić się do powstania korzyści finansowych dla </w:t>
      </w:r>
      <w:r w:rsidR="00742233">
        <w:rPr>
          <w:sz w:val="22"/>
          <w:szCs w:val="22"/>
        </w:rPr>
        <w:t>g</w:t>
      </w:r>
      <w:r w:rsidRPr="006025BB">
        <w:rPr>
          <w:sz w:val="22"/>
          <w:szCs w:val="22"/>
        </w:rPr>
        <w:t xml:space="preserve">miny z uwagi na możliwość sprzedaży mienia gminnego. Dodatkowo gmina może osiągnąć dochody z tytułu podatku od czynności cywilnoprawnych oraz podatku od nieruchomości.  </w:t>
      </w:r>
    </w:p>
    <w:p w14:paraId="06D9EE8D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>Prawo własności</w:t>
      </w:r>
      <w:r w:rsidRPr="006025BB">
        <w:rPr>
          <w:sz w:val="22"/>
          <w:szCs w:val="22"/>
        </w:rPr>
        <w:t xml:space="preserve"> </w:t>
      </w:r>
    </w:p>
    <w:p w14:paraId="71A14141" w14:textId="77777777" w:rsidR="00CD6130" w:rsidRPr="006025BB" w:rsidRDefault="00CD6130" w:rsidP="00A01830">
      <w:pPr>
        <w:pStyle w:val="NormalnyWeb"/>
        <w:spacing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Ustalenia planu miejscowego oraz sposób wyznaczenia terenów wydzielonych liniami rozgraniczającymi określono mając na uwadze poszanowanie prawa własności 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t>w maksymalnie  możliwy sposób. Teren</w:t>
      </w:r>
      <w:r w:rsidR="00742233">
        <w:rPr>
          <w:sz w:val="22"/>
          <w:szCs w:val="22"/>
        </w:rPr>
        <w:t>y</w:t>
      </w:r>
      <w:r w:rsidRPr="006025BB">
        <w:rPr>
          <w:sz w:val="22"/>
          <w:szCs w:val="22"/>
        </w:rPr>
        <w:t xml:space="preserve"> objęt</w:t>
      </w:r>
      <w:r w:rsidR="00742233">
        <w:rPr>
          <w:sz w:val="22"/>
          <w:szCs w:val="22"/>
        </w:rPr>
        <w:t>e</w:t>
      </w:r>
      <w:r w:rsidRPr="006025BB">
        <w:rPr>
          <w:sz w:val="22"/>
          <w:szCs w:val="22"/>
        </w:rPr>
        <w:t xml:space="preserve"> opracowaniem planu miejscowego </w:t>
      </w:r>
      <w:r w:rsidR="00742233">
        <w:rPr>
          <w:sz w:val="22"/>
          <w:szCs w:val="22"/>
        </w:rPr>
        <w:t xml:space="preserve">należą do gminy Karlino, Skarbu Państwa oraz spółki prawa handlowego. </w:t>
      </w:r>
      <w:r w:rsidRPr="006025BB">
        <w:rPr>
          <w:sz w:val="22"/>
          <w:szCs w:val="22"/>
        </w:rPr>
        <w:t xml:space="preserve"> </w:t>
      </w:r>
    </w:p>
    <w:p w14:paraId="525156FE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>Potrzeby obronności i bezpieczeństwa państwa</w:t>
      </w:r>
      <w:r w:rsidRPr="006025BB">
        <w:rPr>
          <w:sz w:val="22"/>
          <w:szCs w:val="22"/>
        </w:rPr>
        <w:t xml:space="preserve"> </w:t>
      </w:r>
    </w:p>
    <w:p w14:paraId="15833C32" w14:textId="77777777" w:rsidR="00CD6130" w:rsidRPr="002D7C87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Projekt planu nie narusza potrzeb obronności Państwa, nie występują tereny zamknięte oraz ich strefy ochronne. W procesie opiniowania i uzgadniania plan został przesłany do instytucji odpowiedzialnych za obronność i bezpieczeństwo państwa. </w:t>
      </w:r>
      <w:r w:rsidRPr="002D7C87">
        <w:rPr>
          <w:sz w:val="22"/>
          <w:szCs w:val="22"/>
        </w:rPr>
        <w:t xml:space="preserve">Organy te uzgodniły projekt planu miejscowego. </w:t>
      </w:r>
    </w:p>
    <w:p w14:paraId="66A90F8C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>Potrzeby interesu publicznego</w:t>
      </w:r>
      <w:r w:rsidRPr="006025BB">
        <w:rPr>
          <w:sz w:val="22"/>
          <w:szCs w:val="22"/>
        </w:rPr>
        <w:t xml:space="preserve"> </w:t>
      </w:r>
    </w:p>
    <w:p w14:paraId="7EC64F56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>Jedną z głównych przyczyn rozpoczęcia prac nad planem miejscowych była chęć zmiany przeznaczenia terenu opracowania, zgodnie z kierunkami wyznaczonymi w Studium uwarunkowań i kierunków zag</w:t>
      </w:r>
      <w:r w:rsidR="00510F2C">
        <w:rPr>
          <w:sz w:val="22"/>
          <w:szCs w:val="22"/>
        </w:rPr>
        <w:t>ospodarowania przestrzennego</w:t>
      </w:r>
      <w:r w:rsidRPr="006025BB">
        <w:rPr>
          <w:sz w:val="22"/>
          <w:szCs w:val="22"/>
        </w:rPr>
        <w:t xml:space="preserve">. </w:t>
      </w:r>
    </w:p>
    <w:p w14:paraId="18DEA283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>Potrzeby w zakresie rozwoju infrastruktury technicznej, w szczególności sieci szerokopasmowych</w:t>
      </w:r>
    </w:p>
    <w:p w14:paraId="300D3044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Plan miejscowy w §13 zawiera ustalenia dotyczące zasad modernizacji rozbudowy i budowy systemów infrastruktury technicznej. Określono w nim możliwość wyposażenie terenów 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lastRenderedPageBreak/>
        <w:t xml:space="preserve">w sieci i urządzenia infrastruktury technicznej oraz sprecyzowano zasady ich realizacji. Plan miejscowy nie ogranicza możliwości realizacji infrastruktury sieci szerokopasmowych. </w:t>
      </w:r>
    </w:p>
    <w:p w14:paraId="05016EC8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 xml:space="preserve">Udziału społeczeństwa w pracach nad miejscowym planem zagospodarowania przestrzennego, w tym przy użyciu środków komunikacji elektronicznej. </w:t>
      </w:r>
    </w:p>
    <w:p w14:paraId="2303AC79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W toku prac nad opracowaniem planu miejscowego, zgodnie z zapisami ustawy o planowaniu </w:t>
      </w:r>
      <w:r w:rsidRPr="006025BB">
        <w:rPr>
          <w:sz w:val="22"/>
          <w:szCs w:val="22"/>
        </w:rPr>
        <w:br/>
        <w:t xml:space="preserve">i zagospodarowaniu przestrzennym, występują etapy związane z udziałem społeczeństwa. </w:t>
      </w:r>
      <w:r w:rsidRPr="006025BB">
        <w:rPr>
          <w:sz w:val="22"/>
          <w:szCs w:val="22"/>
        </w:rPr>
        <w:br/>
        <w:t xml:space="preserve">W szczególności dotyczy to możliwości składania wniosków i uwag do planu oraz możliwości uczestniczenia w dyskusji publicznej nad przyjętymi rozwiązaniami w trakcie wyłożenia projektu planu do wglądu. W trakcie trwania procedury, w wyznaczonych terminach, nie złożono wniosków </w:t>
      </w:r>
      <w:r w:rsidRPr="002D7C87">
        <w:rPr>
          <w:sz w:val="22"/>
          <w:szCs w:val="22"/>
        </w:rPr>
        <w:t>do opracowywanego planu oraz nie złożono uwag.</w:t>
      </w:r>
      <w:r w:rsidRPr="006025BB">
        <w:rPr>
          <w:sz w:val="22"/>
          <w:szCs w:val="22"/>
        </w:rPr>
        <w:t xml:space="preserve"> </w:t>
      </w:r>
    </w:p>
    <w:p w14:paraId="5EFC722D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>Zachowanie jawności i przejrzystości procedur planistycznych</w:t>
      </w:r>
    </w:p>
    <w:p w14:paraId="15B5087C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W toku prac nad opracowaniem planu miejscowego zastosowano się do czynności formalno-prawnych określonych w art. 17 ustawy z dnia 27 marca 2003 r. o planowaniu </w:t>
      </w:r>
      <w:r w:rsidRPr="006025BB">
        <w:rPr>
          <w:sz w:val="22"/>
          <w:szCs w:val="22"/>
        </w:rPr>
        <w:br/>
        <w:t xml:space="preserve">i zagospodarowaniu przestrzennym, jak również na podstawie art. 21, art. 39 i art. 54 ustawy </w:t>
      </w:r>
      <w:r w:rsidRPr="006025BB">
        <w:rPr>
          <w:sz w:val="22"/>
          <w:szCs w:val="22"/>
        </w:rPr>
        <w:br/>
        <w:t>z dnia 3 października 2008 r. o udostępnieniu informacji o środowisku i jego ochronie, udziale społeczeństwa w ochronie środowiska oraz o ocenach oddziaływania na środowisko.</w:t>
      </w:r>
    </w:p>
    <w:p w14:paraId="5D13323F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b/>
          <w:sz w:val="22"/>
          <w:szCs w:val="22"/>
        </w:rPr>
        <w:t xml:space="preserve">Potrzebę zapewnienia odpowiedniej ilości i jakości wody, do celów zaopatrzenia ludności </w:t>
      </w:r>
    </w:p>
    <w:p w14:paraId="447B7361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Plan miejscowy w §13 ust. </w:t>
      </w:r>
      <w:r w:rsidR="002B1485">
        <w:rPr>
          <w:sz w:val="22"/>
          <w:szCs w:val="22"/>
        </w:rPr>
        <w:t>4</w:t>
      </w:r>
      <w:r w:rsidRPr="006025BB">
        <w:rPr>
          <w:sz w:val="22"/>
          <w:szCs w:val="22"/>
        </w:rPr>
        <w:t xml:space="preserve"> zawiera ustalenia dotyczące zasad modernizacji rozbudowy 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t xml:space="preserve">i budowy systemów infrastruktury technicznej, w tym systemu zaopatrzenia w wodę. Ustalenia planu miejscowego przełożą się na zapewnienie odpowiedniej ilości i jakości wody dla celów zaopatrzenia terenu opracowania. </w:t>
      </w:r>
    </w:p>
    <w:p w14:paraId="4F061792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b/>
          <w:sz w:val="22"/>
          <w:szCs w:val="22"/>
        </w:rPr>
      </w:pPr>
      <w:r w:rsidRPr="006025BB">
        <w:rPr>
          <w:b/>
          <w:sz w:val="22"/>
          <w:szCs w:val="22"/>
        </w:rPr>
        <w:t xml:space="preserve">Ustalając przeznaczenie terenu, a także określając sposób zagospodarowania </w:t>
      </w:r>
      <w:r w:rsidRPr="006025BB">
        <w:rPr>
          <w:b/>
          <w:sz w:val="22"/>
          <w:szCs w:val="22"/>
        </w:rPr>
        <w:br/>
        <w:t>i korzystania z terenu:</w:t>
      </w:r>
    </w:p>
    <w:p w14:paraId="37C312E2" w14:textId="77777777" w:rsidR="00CD6130" w:rsidRPr="006025BB" w:rsidRDefault="00CD6130" w:rsidP="00A01830">
      <w:pPr>
        <w:pStyle w:val="NormalnyWeb"/>
        <w:numPr>
          <w:ilvl w:val="0"/>
          <w:numId w:val="2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>władze gminy ważą interes publiczny i interesy prywatne, w tym zgłaszane w postaci wniosków i uwag, zmierzające do ochrony istniejącego stanu zagospodarowania terenu jak i zmian w zakresie jego zagospodarowania</w:t>
      </w:r>
    </w:p>
    <w:p w14:paraId="51B82F95" w14:textId="77777777" w:rsidR="00CD6130" w:rsidRPr="006025BB" w:rsidRDefault="00CD6130" w:rsidP="00A01830">
      <w:pPr>
        <w:pStyle w:val="NormalnyWeb"/>
        <w:spacing w:after="0" w:line="276" w:lineRule="auto"/>
        <w:ind w:left="1068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Ustalenia zawarte w planie miejscowym dążą do zrównoważenia interesu publicznego </w:t>
      </w:r>
      <w:r w:rsidRPr="006025BB">
        <w:rPr>
          <w:sz w:val="22"/>
          <w:szCs w:val="22"/>
        </w:rPr>
        <w:br/>
        <w:t>z interesem właścicieli prywatnych. Ustalenia planu przeznaczają działki pod zainwestowanie związane z przemysłem i produkcją</w:t>
      </w:r>
      <w:r w:rsidR="00510F2C">
        <w:rPr>
          <w:sz w:val="22"/>
          <w:szCs w:val="22"/>
        </w:rPr>
        <w:t xml:space="preserve"> oraz usługami</w:t>
      </w:r>
      <w:r w:rsidRPr="006025BB">
        <w:rPr>
          <w:sz w:val="22"/>
          <w:szCs w:val="22"/>
        </w:rPr>
        <w:t>. Zainwestowanie to może stanowić uciążliwość w przypadku bliskiej loka</w:t>
      </w:r>
      <w:r w:rsidR="00742233">
        <w:rPr>
          <w:sz w:val="22"/>
          <w:szCs w:val="22"/>
        </w:rPr>
        <w:t>lizacji zabudowy mieszkaniowej.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t xml:space="preserve">W przypadku analizowanego ternu takie ryzyko </w:t>
      </w:r>
      <w:r w:rsidR="00742233">
        <w:rPr>
          <w:sz w:val="22"/>
          <w:szCs w:val="22"/>
        </w:rPr>
        <w:t>mogłoby zaistnieć, w związku z lokalizacją na obszar opracowania planu zabudowy mieszkaniowej</w:t>
      </w:r>
      <w:r w:rsidR="001C05B9">
        <w:rPr>
          <w:sz w:val="22"/>
          <w:szCs w:val="22"/>
        </w:rPr>
        <w:t xml:space="preserve">. Zabudowa ta została jednak wykupiona przez inwestora tego terenu, z myślą o jej wyburzeniu lub np. wykorzystaniu jako zaplecza projektowanej funkcji.  </w:t>
      </w:r>
    </w:p>
    <w:p w14:paraId="22064BE9" w14:textId="77777777" w:rsidR="00CD6130" w:rsidRPr="006025BB" w:rsidRDefault="00CD6130" w:rsidP="00A01830">
      <w:pPr>
        <w:pStyle w:val="NormalnyWeb"/>
        <w:numPr>
          <w:ilvl w:val="0"/>
          <w:numId w:val="2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>zważono aspekt ekonomiczny, środowiskowy i społeczny</w:t>
      </w:r>
    </w:p>
    <w:p w14:paraId="669AE8E2" w14:textId="77777777" w:rsidR="00CD6130" w:rsidRPr="006025BB" w:rsidRDefault="00CD6130" w:rsidP="00A01830">
      <w:pPr>
        <w:pStyle w:val="NormalnyWeb"/>
        <w:spacing w:after="0" w:line="276" w:lineRule="auto"/>
        <w:ind w:left="1068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>Wyznaczenie nowych terenów inwestycyjnych stanowi realizację zapisów studium uwarunkowań i kierunków zagospo</w:t>
      </w:r>
      <w:r w:rsidR="001C05B9">
        <w:rPr>
          <w:sz w:val="22"/>
          <w:szCs w:val="22"/>
        </w:rPr>
        <w:t xml:space="preserve">darowania przestrzennego gminy oraz umożliwi rozbudowę sąsiadującego zakładu drzewnego </w:t>
      </w:r>
      <w:proofErr w:type="spellStart"/>
      <w:r w:rsidR="001C05B9">
        <w:rPr>
          <w:sz w:val="22"/>
          <w:szCs w:val="22"/>
        </w:rPr>
        <w:t>Homanit</w:t>
      </w:r>
      <w:proofErr w:type="spellEnd"/>
      <w:r w:rsidR="001C05B9">
        <w:rPr>
          <w:sz w:val="22"/>
          <w:szCs w:val="22"/>
        </w:rPr>
        <w:t xml:space="preserve">. </w:t>
      </w:r>
    </w:p>
    <w:p w14:paraId="5FE50BA1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09" w:firstLine="360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W trakcie prac nad planem miejscowym sporządzono prognozę skutków finansowych, </w:t>
      </w:r>
      <w:r w:rsidRPr="006025BB">
        <w:rPr>
          <w:sz w:val="22"/>
          <w:szCs w:val="22"/>
        </w:rPr>
        <w:br/>
        <w:t xml:space="preserve">z której wynika, że do budżetu </w:t>
      </w:r>
      <w:r w:rsidR="001C05B9">
        <w:rPr>
          <w:sz w:val="22"/>
          <w:szCs w:val="22"/>
        </w:rPr>
        <w:t>g</w:t>
      </w:r>
      <w:r w:rsidRPr="006025BB">
        <w:rPr>
          <w:sz w:val="22"/>
          <w:szCs w:val="22"/>
        </w:rPr>
        <w:t xml:space="preserve">miny wpłyną dochody m.in. z tytułu podatków oraz sprzedaży gruntów. Zostały również przeprowadzone analizy środowiskowe w oparciu 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t xml:space="preserve">o prognozę oddziaływania na środowisko oraz przeanalizowano aspekt społeczny – 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t xml:space="preserve">w przypadku realizacji inwestycji stworzone zostaną nowe miejsca pracy i uwolnione zostaną nowe tereny inwestycyjne. Gmina </w:t>
      </w:r>
      <w:r w:rsidR="001C05B9">
        <w:rPr>
          <w:sz w:val="22"/>
          <w:szCs w:val="22"/>
        </w:rPr>
        <w:t xml:space="preserve">nie poniesie kosztów związanych z lokalizacją infrastruktury technicznej lub komunikacyjnej. </w:t>
      </w:r>
      <w:r w:rsidRPr="006025BB">
        <w:rPr>
          <w:sz w:val="22"/>
          <w:szCs w:val="22"/>
        </w:rPr>
        <w:t xml:space="preserve"> </w:t>
      </w:r>
    </w:p>
    <w:p w14:paraId="70FBFE0C" w14:textId="77777777" w:rsidR="00CD6130" w:rsidRPr="006025BB" w:rsidRDefault="00CD6130" w:rsidP="00A01830">
      <w:pPr>
        <w:pStyle w:val="NormalnyWeb"/>
        <w:numPr>
          <w:ilvl w:val="0"/>
          <w:numId w:val="5"/>
        </w:numPr>
        <w:spacing w:before="0" w:beforeAutospacing="0" w:after="0" w:line="276" w:lineRule="auto"/>
        <w:contextualSpacing/>
        <w:jc w:val="both"/>
        <w:rPr>
          <w:b/>
          <w:sz w:val="22"/>
          <w:szCs w:val="22"/>
        </w:rPr>
      </w:pPr>
      <w:r w:rsidRPr="006025BB">
        <w:rPr>
          <w:b/>
          <w:sz w:val="22"/>
          <w:szCs w:val="22"/>
        </w:rPr>
        <w:t>W przypadku sytuowania nowej zabudowy uwzględniono wymagania ładu przestrzennego, efektywne gospodarowanie przestrzenią oraz walory ekonomiczne przestrzeni poprzez:</w:t>
      </w:r>
    </w:p>
    <w:p w14:paraId="0E4DF50B" w14:textId="77777777" w:rsidR="00CD6130" w:rsidRPr="006025BB" w:rsidRDefault="00CD6130" w:rsidP="00A01830">
      <w:pPr>
        <w:pStyle w:val="NormalnyWeb"/>
        <w:numPr>
          <w:ilvl w:val="0"/>
          <w:numId w:val="3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lastRenderedPageBreak/>
        <w:t>kształtowanie struktur przestrzennych przy uwzględnieniu dążenia do minimalizowania transportochłonności układu przestrzennego – teren opracowania planu miejscowego zlokalizowany jes</w:t>
      </w:r>
      <w:r w:rsidR="002B1485">
        <w:rPr>
          <w:sz w:val="22"/>
          <w:szCs w:val="22"/>
        </w:rPr>
        <w:t>t w sąsiedztwie dróg gminnej i wojewódzkiej</w:t>
      </w:r>
      <w:r w:rsidRPr="006025BB">
        <w:rPr>
          <w:sz w:val="22"/>
          <w:szCs w:val="22"/>
        </w:rPr>
        <w:t xml:space="preserve"> oraz przystanków komunikacji publicznej, w związku z czym możliwe jest korzystanie z publicznego transportu zbiorowego</w:t>
      </w:r>
    </w:p>
    <w:p w14:paraId="5FBE6303" w14:textId="77777777" w:rsidR="00CD6130" w:rsidRPr="006025BB" w:rsidRDefault="00CD6130" w:rsidP="00A01830">
      <w:pPr>
        <w:pStyle w:val="NormalnyWeb"/>
        <w:numPr>
          <w:ilvl w:val="0"/>
          <w:numId w:val="3"/>
        </w:numPr>
        <w:spacing w:before="0" w:beforeAutospacing="0" w:after="0" w:line="276" w:lineRule="auto"/>
        <w:contextualSpacing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obszar, dla którego został sporządzony plan położony jest </w:t>
      </w:r>
      <w:r>
        <w:rPr>
          <w:sz w:val="22"/>
          <w:szCs w:val="22"/>
        </w:rPr>
        <w:t>poza granicami obszarów</w:t>
      </w:r>
      <w:r w:rsidRPr="006025BB">
        <w:rPr>
          <w:sz w:val="22"/>
          <w:szCs w:val="22"/>
        </w:rPr>
        <w:br/>
        <w:t>o w pełni wykształconej zwartej strukturze funkcjonalno-przestrzennej, w granicach jednostki osadniczej, związane jest to z projektowaną funkcją, która powinna być lokalizowana w jak największym oddaleniu od zabudowy mieszkaniowej, jednocześnie obszar ten charakteryzuje się bardzo wysokim stopniem zaopatrzenia w infrastrukturę techniczną.</w:t>
      </w:r>
    </w:p>
    <w:p w14:paraId="25E956E3" w14:textId="77777777" w:rsidR="00CD6130" w:rsidRPr="006025BB" w:rsidRDefault="00CD6130" w:rsidP="00A01830">
      <w:pPr>
        <w:pStyle w:val="NormalnyWeb"/>
        <w:numPr>
          <w:ilvl w:val="0"/>
          <w:numId w:val="1"/>
        </w:numPr>
        <w:spacing w:before="240" w:beforeAutospacing="0" w:after="240" w:line="276" w:lineRule="auto"/>
        <w:ind w:left="714" w:hanging="357"/>
        <w:jc w:val="both"/>
        <w:rPr>
          <w:b/>
          <w:sz w:val="22"/>
          <w:szCs w:val="22"/>
        </w:rPr>
      </w:pPr>
      <w:r w:rsidRPr="006025BB">
        <w:rPr>
          <w:b/>
          <w:sz w:val="22"/>
          <w:szCs w:val="22"/>
        </w:rPr>
        <w:t xml:space="preserve">Zgodność z wynikami analizy dotyczącej oceny aktualności studium uwarunkowań </w:t>
      </w:r>
      <w:r w:rsidRPr="006025BB">
        <w:rPr>
          <w:b/>
          <w:sz w:val="22"/>
          <w:szCs w:val="22"/>
        </w:rPr>
        <w:br/>
        <w:t xml:space="preserve">i kierunków zagospodarowania przestrzennego oraz miejscowych planów zagospodarowania przestrzennego </w:t>
      </w:r>
      <w:r w:rsidR="002B1485">
        <w:rPr>
          <w:b/>
          <w:sz w:val="22"/>
          <w:szCs w:val="22"/>
        </w:rPr>
        <w:t>g</w:t>
      </w:r>
      <w:r w:rsidRPr="006025BB">
        <w:rPr>
          <w:b/>
          <w:sz w:val="22"/>
          <w:szCs w:val="22"/>
        </w:rPr>
        <w:t>miny Karlino</w:t>
      </w:r>
    </w:p>
    <w:p w14:paraId="03B7126B" w14:textId="77777777" w:rsidR="00CD6130" w:rsidRPr="006025BB" w:rsidRDefault="00CD6130" w:rsidP="00A01830">
      <w:pPr>
        <w:pStyle w:val="NormalnyWeb"/>
        <w:spacing w:before="240" w:after="240" w:line="276" w:lineRule="auto"/>
        <w:ind w:firstLine="357"/>
        <w:jc w:val="both"/>
        <w:rPr>
          <w:sz w:val="22"/>
          <w:szCs w:val="22"/>
        </w:rPr>
      </w:pPr>
      <w:r w:rsidRPr="006025BB">
        <w:rPr>
          <w:sz w:val="22"/>
          <w:szCs w:val="22"/>
        </w:rPr>
        <w:t xml:space="preserve">Gmina Karlino </w:t>
      </w:r>
      <w:r>
        <w:rPr>
          <w:sz w:val="22"/>
          <w:szCs w:val="22"/>
        </w:rPr>
        <w:t>w 2018 r. przeprowadziła analizę dotyczącą oceny aktualności Studium uwarunkowań i kierunków zagospodarowania przestrzennego miasta i gminy Karlino oraz miejscowych planów zagospodarowania przestrzennego</w:t>
      </w:r>
      <w:r w:rsidRPr="006025BB">
        <w:rPr>
          <w:sz w:val="22"/>
          <w:szCs w:val="22"/>
        </w:rPr>
        <w:t xml:space="preserve">, o której mowa w art. 32 ustawy </w:t>
      </w:r>
      <w:r>
        <w:rPr>
          <w:sz w:val="22"/>
          <w:szCs w:val="22"/>
        </w:rPr>
        <w:br/>
      </w:r>
      <w:r w:rsidRPr="006025BB">
        <w:rPr>
          <w:sz w:val="22"/>
          <w:szCs w:val="22"/>
        </w:rPr>
        <w:t xml:space="preserve">o planowaniu i zagospodarowaniu przestrzennym. </w:t>
      </w:r>
      <w:r>
        <w:rPr>
          <w:sz w:val="22"/>
          <w:szCs w:val="22"/>
        </w:rPr>
        <w:t xml:space="preserve">Analiza ta została przyjęta uchwałą nr XLVI/413/18 Rady Miejskiej w Karlinie z dnia 28 maja 2018 r. </w:t>
      </w:r>
      <w:r w:rsidR="002B1485">
        <w:rPr>
          <w:sz w:val="22"/>
          <w:szCs w:val="22"/>
        </w:rPr>
        <w:t xml:space="preserve">Opracowanie procedowanej zmiany planu nie zostało uwzględnione w w/w analizie. </w:t>
      </w:r>
    </w:p>
    <w:p w14:paraId="214A3F15" w14:textId="77777777" w:rsidR="00CD6130" w:rsidRPr="006025BB" w:rsidRDefault="00CD6130" w:rsidP="00A01830">
      <w:pPr>
        <w:pStyle w:val="NormalnyWeb"/>
        <w:numPr>
          <w:ilvl w:val="0"/>
          <w:numId w:val="1"/>
        </w:numPr>
        <w:spacing w:before="240" w:after="240" w:line="276" w:lineRule="auto"/>
        <w:jc w:val="both"/>
        <w:rPr>
          <w:b/>
          <w:color w:val="000000"/>
          <w:sz w:val="22"/>
          <w:szCs w:val="22"/>
        </w:rPr>
      </w:pPr>
      <w:r w:rsidRPr="006025BB">
        <w:rPr>
          <w:b/>
          <w:color w:val="000000"/>
          <w:sz w:val="22"/>
          <w:szCs w:val="22"/>
        </w:rPr>
        <w:t>Wpływ na finanse publiczne, w tym budżet gminy</w:t>
      </w:r>
    </w:p>
    <w:p w14:paraId="3862C28D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firstLine="360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>Prognoza finansowa skutków uchwalenia planu określa potencjalne koszty i dochody</w:t>
      </w:r>
      <w:r w:rsidRPr="006025BB">
        <w:rPr>
          <w:color w:val="000000"/>
          <w:sz w:val="22"/>
          <w:szCs w:val="22"/>
        </w:rPr>
        <w:br/>
        <w:t xml:space="preserve">z tytułu uchwalenia miejscowego planu zagospodarowania przestrzennego. Prognoza wykazała, iż: </w:t>
      </w:r>
    </w:p>
    <w:p w14:paraId="3FCE5E5C" w14:textId="77777777" w:rsidR="00CD6130" w:rsidRPr="006025BB" w:rsidRDefault="00CD6130" w:rsidP="00A01830">
      <w:pPr>
        <w:pStyle w:val="NormalnyWeb"/>
        <w:numPr>
          <w:ilvl w:val="0"/>
          <w:numId w:val="8"/>
        </w:numPr>
        <w:spacing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 xml:space="preserve">uchwalenie planu i uzbrojenie terenów może spowodować wzmożony ruch w obrocie nieruchomościami i przynieść </w:t>
      </w:r>
      <w:r w:rsidR="00DB3572">
        <w:rPr>
          <w:color w:val="000000"/>
          <w:sz w:val="22"/>
          <w:szCs w:val="22"/>
        </w:rPr>
        <w:t>g</w:t>
      </w:r>
      <w:r w:rsidRPr="006025BB">
        <w:rPr>
          <w:color w:val="000000"/>
          <w:sz w:val="22"/>
          <w:szCs w:val="22"/>
        </w:rPr>
        <w:t xml:space="preserve">minie dochody z </w:t>
      </w:r>
      <w:r w:rsidR="001C05B9">
        <w:rPr>
          <w:color w:val="000000"/>
          <w:sz w:val="22"/>
          <w:szCs w:val="22"/>
        </w:rPr>
        <w:t xml:space="preserve">tytułu </w:t>
      </w:r>
      <w:r w:rsidRPr="006025BB">
        <w:rPr>
          <w:color w:val="000000"/>
          <w:sz w:val="22"/>
          <w:szCs w:val="22"/>
        </w:rPr>
        <w:t>opłat (podatek od czynności cywilno</w:t>
      </w:r>
      <w:r w:rsidR="001C05B9">
        <w:rPr>
          <w:color w:val="000000"/>
          <w:sz w:val="22"/>
          <w:szCs w:val="22"/>
        </w:rPr>
        <w:t xml:space="preserve">prawnych i opłata planistyczna) oraz możliwość sprzedaży działek należących obecnie do gminy. </w:t>
      </w:r>
    </w:p>
    <w:p w14:paraId="6B06BFAB" w14:textId="77777777" w:rsidR="00CD6130" w:rsidRPr="006025BB" w:rsidRDefault="00CD6130" w:rsidP="00A01830">
      <w:pPr>
        <w:pStyle w:val="NormalnyWeb"/>
        <w:numPr>
          <w:ilvl w:val="0"/>
          <w:numId w:val="8"/>
        </w:numPr>
        <w:spacing w:after="0" w:line="276" w:lineRule="auto"/>
        <w:contextualSpacing/>
        <w:jc w:val="both"/>
        <w:rPr>
          <w:color w:val="000000"/>
          <w:sz w:val="22"/>
          <w:szCs w:val="22"/>
        </w:rPr>
      </w:pPr>
      <w:r w:rsidRPr="006025BB">
        <w:rPr>
          <w:color w:val="000000"/>
          <w:sz w:val="22"/>
          <w:szCs w:val="22"/>
        </w:rPr>
        <w:t>uchwalenie planu może spowodować wzrost doch</w:t>
      </w:r>
      <w:r w:rsidR="001C05B9">
        <w:rPr>
          <w:color w:val="000000"/>
          <w:sz w:val="22"/>
          <w:szCs w:val="22"/>
        </w:rPr>
        <w:t>odów z podatku od nieruchomości.</w:t>
      </w:r>
    </w:p>
    <w:p w14:paraId="7CF3F190" w14:textId="3CC44B4A" w:rsidR="00CD6130" w:rsidRPr="006025BB" w:rsidRDefault="00D8657F" w:rsidP="00D8657F">
      <w:pPr>
        <w:pStyle w:val="NormalnyWeb"/>
        <w:spacing w:after="0" w:line="276" w:lineRule="auto"/>
        <w:ind w:left="36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Dla terenu oznaczonego symbolem </w:t>
      </w:r>
      <w:r w:rsidRPr="00D8657F">
        <w:rPr>
          <w:color w:val="000000"/>
          <w:sz w:val="22"/>
          <w:szCs w:val="22"/>
        </w:rPr>
        <w:t>„1 P-UH-UG”</w:t>
      </w:r>
      <w:r>
        <w:rPr>
          <w:color w:val="000000"/>
          <w:sz w:val="22"/>
          <w:szCs w:val="22"/>
        </w:rPr>
        <w:t xml:space="preserve"> odstąpiono od ustalenia </w:t>
      </w:r>
      <w:r w:rsidRPr="00D8657F">
        <w:rPr>
          <w:color w:val="000000"/>
          <w:sz w:val="22"/>
          <w:szCs w:val="22"/>
        </w:rPr>
        <w:t>stawk</w:t>
      </w:r>
      <w:r>
        <w:rPr>
          <w:color w:val="000000"/>
          <w:sz w:val="22"/>
          <w:szCs w:val="22"/>
        </w:rPr>
        <w:t>i</w:t>
      </w:r>
      <w:r w:rsidRPr="00D8657F">
        <w:rPr>
          <w:color w:val="000000"/>
          <w:sz w:val="22"/>
          <w:szCs w:val="22"/>
        </w:rPr>
        <w:t xml:space="preserve"> procentow</w:t>
      </w:r>
      <w:r>
        <w:rPr>
          <w:color w:val="000000"/>
          <w:sz w:val="22"/>
          <w:szCs w:val="22"/>
        </w:rPr>
        <w:t>ej</w:t>
      </w:r>
      <w:r w:rsidRPr="00D865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D8657F">
        <w:rPr>
          <w:color w:val="000000"/>
          <w:sz w:val="22"/>
          <w:szCs w:val="22"/>
        </w:rPr>
        <w:t>z tytułu opłaty, o której mowa w art. 36 ust. 4 ustawy o planowaniu i zagospodarowaniu przestrzennym</w:t>
      </w:r>
      <w:r>
        <w:rPr>
          <w:color w:val="000000"/>
          <w:sz w:val="22"/>
          <w:szCs w:val="22"/>
        </w:rPr>
        <w:t xml:space="preserve"> ze względu na utrzymanie przeznaczenia określonego w obowiązującym na tym obszarze planie miejscowym.</w:t>
      </w:r>
    </w:p>
    <w:p w14:paraId="358717A0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firstLine="360"/>
        <w:contextualSpacing/>
        <w:jc w:val="both"/>
        <w:rPr>
          <w:color w:val="000000"/>
          <w:sz w:val="22"/>
          <w:szCs w:val="22"/>
        </w:rPr>
      </w:pPr>
    </w:p>
    <w:p w14:paraId="1AA227C6" w14:textId="77777777" w:rsidR="00CD6130" w:rsidRPr="006025BB" w:rsidRDefault="00CD6130" w:rsidP="00A01830">
      <w:pPr>
        <w:pStyle w:val="NormalnyWeb"/>
        <w:spacing w:before="0" w:beforeAutospacing="0" w:after="0" w:line="276" w:lineRule="auto"/>
        <w:ind w:left="720"/>
        <w:contextualSpacing/>
        <w:jc w:val="both"/>
        <w:rPr>
          <w:sz w:val="22"/>
          <w:szCs w:val="22"/>
        </w:rPr>
      </w:pPr>
    </w:p>
    <w:p w14:paraId="59DC97D1" w14:textId="77777777" w:rsidR="00CD6130" w:rsidRPr="006025BB" w:rsidRDefault="00CD6130" w:rsidP="00A01830">
      <w:pPr>
        <w:rPr>
          <w:rFonts w:ascii="Times New Roman" w:hAnsi="Times New Roman"/>
        </w:rPr>
      </w:pPr>
    </w:p>
    <w:p w14:paraId="7EB9124D" w14:textId="77777777" w:rsidR="00DA395C" w:rsidRDefault="00DA395C" w:rsidP="00A01830"/>
    <w:sectPr w:rsidR="00DA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50C"/>
    <w:multiLevelType w:val="hybridMultilevel"/>
    <w:tmpl w:val="FC76D95C"/>
    <w:lvl w:ilvl="0" w:tplc="DEDC62D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E5F7A"/>
    <w:multiLevelType w:val="hybridMultilevel"/>
    <w:tmpl w:val="0AE8C5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443063"/>
    <w:multiLevelType w:val="hybridMultilevel"/>
    <w:tmpl w:val="ECD8C11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75666C"/>
    <w:multiLevelType w:val="hybridMultilevel"/>
    <w:tmpl w:val="B10A39C4"/>
    <w:lvl w:ilvl="0" w:tplc="945033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A2A"/>
    <w:multiLevelType w:val="hybridMultilevel"/>
    <w:tmpl w:val="0762AE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AC3928"/>
    <w:multiLevelType w:val="hybridMultilevel"/>
    <w:tmpl w:val="D35CFC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52DE5"/>
    <w:multiLevelType w:val="hybridMultilevel"/>
    <w:tmpl w:val="95AA43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1229F"/>
    <w:multiLevelType w:val="hybridMultilevel"/>
    <w:tmpl w:val="B6460F3A"/>
    <w:lvl w:ilvl="0" w:tplc="DEDC62D8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4EA247B"/>
    <w:multiLevelType w:val="hybridMultilevel"/>
    <w:tmpl w:val="6D8022B8"/>
    <w:lvl w:ilvl="0" w:tplc="DEDC62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A6B42"/>
    <w:multiLevelType w:val="hybridMultilevel"/>
    <w:tmpl w:val="1C7290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353FCA"/>
    <w:multiLevelType w:val="hybridMultilevel"/>
    <w:tmpl w:val="E1CE1C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E67277"/>
    <w:multiLevelType w:val="hybridMultilevel"/>
    <w:tmpl w:val="4F2CA41E"/>
    <w:lvl w:ilvl="0" w:tplc="0415000F">
      <w:start w:val="1"/>
      <w:numFmt w:val="decimal"/>
      <w:lvlText w:val="%1.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>
    <w:nsid w:val="456C02E6"/>
    <w:multiLevelType w:val="hybridMultilevel"/>
    <w:tmpl w:val="A718C526"/>
    <w:lvl w:ilvl="0" w:tplc="4F26DF0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AE92073"/>
    <w:multiLevelType w:val="hybridMultilevel"/>
    <w:tmpl w:val="D86672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7935D2"/>
    <w:multiLevelType w:val="hybridMultilevel"/>
    <w:tmpl w:val="AF02742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801A84"/>
    <w:multiLevelType w:val="hybridMultilevel"/>
    <w:tmpl w:val="F508BB20"/>
    <w:lvl w:ilvl="0" w:tplc="DEDC62D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A3C5C2E"/>
    <w:multiLevelType w:val="hybridMultilevel"/>
    <w:tmpl w:val="3B00D36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DC118BF"/>
    <w:multiLevelType w:val="hybridMultilevel"/>
    <w:tmpl w:val="29002B9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FDA23F2"/>
    <w:multiLevelType w:val="hybridMultilevel"/>
    <w:tmpl w:val="859AC65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5"/>
  </w:num>
  <w:num w:numId="8">
    <w:abstractNumId w:val="8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12"/>
  </w:num>
  <w:num w:numId="15">
    <w:abstractNumId w:val="11"/>
  </w:num>
  <w:num w:numId="16">
    <w:abstractNumId w:val="16"/>
  </w:num>
  <w:num w:numId="17">
    <w:abstractNumId w:val="18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30"/>
    <w:rsid w:val="001C05B9"/>
    <w:rsid w:val="002B1485"/>
    <w:rsid w:val="00510F2C"/>
    <w:rsid w:val="006F03F8"/>
    <w:rsid w:val="00742233"/>
    <w:rsid w:val="00782378"/>
    <w:rsid w:val="00A01830"/>
    <w:rsid w:val="00A03749"/>
    <w:rsid w:val="00B64E44"/>
    <w:rsid w:val="00C96002"/>
    <w:rsid w:val="00CD6130"/>
    <w:rsid w:val="00D8657F"/>
    <w:rsid w:val="00DA395C"/>
    <w:rsid w:val="00DB3572"/>
    <w:rsid w:val="00E7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4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D613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6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D613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2181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Iza_C</cp:lastModifiedBy>
  <cp:revision>8</cp:revision>
  <dcterms:created xsi:type="dcterms:W3CDTF">2022-11-14T10:41:00Z</dcterms:created>
  <dcterms:modified xsi:type="dcterms:W3CDTF">2024-07-23T09:41:00Z</dcterms:modified>
</cp:coreProperties>
</file>