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85" w:rsidRPr="00B10ADB" w:rsidRDefault="00B10ADB" w:rsidP="00B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B10ADB">
        <w:rPr>
          <w:rFonts w:ascii="Times New Roman" w:hAnsi="Times New Roman" w:cs="Times New Roman"/>
          <w:sz w:val="24"/>
          <w:szCs w:val="24"/>
        </w:rPr>
        <w:t xml:space="preserve">„Działając na podstawie art. 14i § 4 w związku z art 14j § 3 ustawy z dnia 29 sierpnia 1997 r. Ordynacja podatkowa (Dz. U. z 2017 r. poz. 201 z </w:t>
      </w:r>
      <w:proofErr w:type="spellStart"/>
      <w:r w:rsidRPr="00B10A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0ADB">
        <w:rPr>
          <w:rFonts w:ascii="Times New Roman" w:hAnsi="Times New Roman" w:cs="Times New Roman"/>
          <w:sz w:val="24"/>
          <w:szCs w:val="24"/>
        </w:rPr>
        <w:t>. zm.) informuję, iż wyrokiem Wojewódzkiego Sądu Administracyjnego z dnia 26 lipca 2017 r. sygn. akt I SA/</w:t>
      </w:r>
      <w:proofErr w:type="spellStart"/>
      <w:r w:rsidRPr="00B10ADB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B10ADB">
        <w:rPr>
          <w:rFonts w:ascii="Times New Roman" w:hAnsi="Times New Roman" w:cs="Times New Roman"/>
          <w:sz w:val="24"/>
          <w:szCs w:val="24"/>
        </w:rPr>
        <w:t xml:space="preserve"> 464/17, interpretacja indywidualna nr BP.310.1.2017 z dnia 9 lutego 2017 r., wydana przez Burmistrza Karlina, została uchylona."</w:t>
      </w:r>
      <w:bookmarkStart w:id="0" w:name="_GoBack"/>
      <w:bookmarkEnd w:id="0"/>
    </w:p>
    <w:sectPr w:rsidR="003F6485" w:rsidRPr="00B1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3"/>
    <w:rsid w:val="003F6485"/>
    <w:rsid w:val="00B10ADB"/>
    <w:rsid w:val="00B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4B3A-C2BB-4CC4-9E7B-E945B52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Krystian_M</dc:creator>
  <cp:keywords/>
  <dc:description/>
  <cp:lastModifiedBy>Krystian_M</cp:lastModifiedBy>
  <cp:revision>2</cp:revision>
  <dcterms:created xsi:type="dcterms:W3CDTF">2017-12-11T11:26:00Z</dcterms:created>
  <dcterms:modified xsi:type="dcterms:W3CDTF">2017-12-11T11:27:00Z</dcterms:modified>
</cp:coreProperties>
</file>